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8E7" w:rsidRDefault="005B28E7" w:rsidP="005B28E7">
      <w:pPr>
        <w:ind w:right="50"/>
        <w:jc w:val="center"/>
        <w:rPr>
          <w:sz w:val="22"/>
          <w:szCs w:val="22"/>
        </w:rPr>
      </w:pPr>
      <w:r>
        <w:rPr>
          <w:noProof/>
        </w:rPr>
        <w:drawing>
          <wp:anchor distT="0" distB="0" distL="114300" distR="114300" simplePos="0" relativeHeight="251658240" behindDoc="0" locked="0" layoutInCell="1" allowOverlap="1" wp14:anchorId="36D08548" wp14:editId="7895EFF9">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mediaadvisory-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mediaadvisory-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sz w:val="52"/>
          <w:szCs w:val="52"/>
        </w:rPr>
        <w:t xml:space="preserve">HISD to recognize Read Houston Read volunteers </w:t>
      </w:r>
    </w:p>
    <w:p w:rsidR="005B28E7" w:rsidRDefault="005B28E7" w:rsidP="005B28E7">
      <w:pPr>
        <w:pStyle w:val="NormalWeb"/>
        <w:ind w:right="-270"/>
        <w:jc w:val="center"/>
        <w:rPr>
          <w:rFonts w:ascii="Calibri" w:hAnsi="Calibri"/>
          <w:i/>
          <w:iCs/>
          <w:sz w:val="22"/>
          <w:szCs w:val="22"/>
        </w:rPr>
      </w:pPr>
    </w:p>
    <w:tbl>
      <w:tblPr>
        <w:tblW w:w="5000" w:type="pct"/>
        <w:tblCellSpacing w:w="22" w:type="dxa"/>
        <w:tblCellMar>
          <w:left w:w="0" w:type="dxa"/>
          <w:right w:w="0" w:type="dxa"/>
        </w:tblCellMar>
        <w:tblLook w:val="04A0" w:firstRow="1" w:lastRow="0" w:firstColumn="1" w:lastColumn="0" w:noHBand="0" w:noVBand="1"/>
      </w:tblPr>
      <w:tblGrid>
        <w:gridCol w:w="1559"/>
        <w:gridCol w:w="7801"/>
      </w:tblGrid>
      <w:tr w:rsidR="005B28E7" w:rsidTr="005B28E7">
        <w:trPr>
          <w:tblCellSpacing w:w="22" w:type="dxa"/>
        </w:trPr>
        <w:tc>
          <w:tcPr>
            <w:tcW w:w="798" w:type="pct"/>
            <w:tcMar>
              <w:top w:w="15" w:type="dxa"/>
              <w:left w:w="15" w:type="dxa"/>
              <w:bottom w:w="15" w:type="dxa"/>
              <w:right w:w="15" w:type="dxa"/>
            </w:tcMar>
            <w:hideMark/>
          </w:tcPr>
          <w:p w:rsidR="005B28E7" w:rsidRDefault="005B28E7">
            <w:pPr>
              <w:pStyle w:val="NormalWeb"/>
              <w:spacing w:line="252" w:lineRule="auto"/>
              <w:rPr>
                <w:rFonts w:ascii="Calibri" w:hAnsi="Calibri"/>
                <w:sz w:val="22"/>
                <w:szCs w:val="22"/>
              </w:rPr>
            </w:pPr>
            <w:r>
              <w:rPr>
                <w:rStyle w:val="Strong"/>
                <w:rFonts w:ascii="Calibri" w:hAnsi="Calibri"/>
                <w:sz w:val="22"/>
                <w:szCs w:val="22"/>
              </w:rPr>
              <w:t>What:</w:t>
            </w:r>
          </w:p>
        </w:tc>
        <w:tc>
          <w:tcPr>
            <w:tcW w:w="4132" w:type="pct"/>
            <w:tcMar>
              <w:top w:w="15" w:type="dxa"/>
              <w:left w:w="15" w:type="dxa"/>
              <w:bottom w:w="15" w:type="dxa"/>
              <w:right w:w="15" w:type="dxa"/>
            </w:tcMar>
            <w:vAlign w:val="center"/>
          </w:tcPr>
          <w:p w:rsidR="005B28E7" w:rsidRDefault="005B28E7">
            <w:pPr>
              <w:pStyle w:val="NoSpacing"/>
              <w:rPr>
                <w:rFonts w:ascii="Calibri" w:hAnsi="Calibri"/>
                <w:sz w:val="22"/>
                <w:szCs w:val="22"/>
              </w:rPr>
            </w:pPr>
            <w:r>
              <w:rPr>
                <w:rFonts w:ascii="Calibri" w:hAnsi="Calibri"/>
                <w:sz w:val="22"/>
                <w:szCs w:val="22"/>
              </w:rPr>
              <w:t>The Houston Independent School District will host two ceremonies to recognize the efforts of the district’s Read Houston Read volunteers who are committed to helping HISD students improve their literacy skills.</w:t>
            </w:r>
          </w:p>
          <w:p w:rsidR="005B28E7" w:rsidRDefault="005B28E7">
            <w:pPr>
              <w:pStyle w:val="NoSpacing"/>
              <w:rPr>
                <w:rFonts w:ascii="Calibri" w:hAnsi="Calibri"/>
                <w:sz w:val="22"/>
                <w:szCs w:val="22"/>
              </w:rPr>
            </w:pPr>
          </w:p>
          <w:p w:rsidR="005B28E7" w:rsidRDefault="005B28E7">
            <w:pPr>
              <w:pStyle w:val="NoSpacing"/>
              <w:rPr>
                <w:rFonts w:ascii="Calibri" w:hAnsi="Calibri"/>
                <w:sz w:val="22"/>
                <w:szCs w:val="22"/>
              </w:rPr>
            </w:pPr>
            <w:r>
              <w:rPr>
                <w:rFonts w:ascii="Calibri" w:hAnsi="Calibri"/>
                <w:sz w:val="22"/>
                <w:szCs w:val="22"/>
              </w:rPr>
              <w:t>The Read Houston Read Appreciation Breakfast will honor the nearly 800 volunteers participating in the program, which aims to improve literacy rates by having a volunteer read with students once a week throughout the school year. The program encourages parents, community members, and business professionals to read to students either in person or virtually.</w:t>
            </w:r>
          </w:p>
          <w:p w:rsidR="005B28E7" w:rsidRDefault="005B28E7">
            <w:pPr>
              <w:pStyle w:val="NoSpacing"/>
              <w:rPr>
                <w:rFonts w:ascii="Calibri" w:hAnsi="Calibri"/>
                <w:sz w:val="22"/>
                <w:szCs w:val="22"/>
              </w:rPr>
            </w:pPr>
          </w:p>
          <w:p w:rsidR="005B28E7" w:rsidRDefault="005B28E7">
            <w:pPr>
              <w:pStyle w:val="NoSpacing"/>
              <w:rPr>
                <w:rFonts w:ascii="Calibri" w:hAnsi="Calibri"/>
                <w:sz w:val="22"/>
                <w:szCs w:val="22"/>
              </w:rPr>
            </w:pPr>
            <w:r>
              <w:rPr>
                <w:rFonts w:ascii="Calibri" w:hAnsi="Calibri"/>
                <w:sz w:val="22"/>
                <w:szCs w:val="22"/>
              </w:rPr>
              <w:t>Read Houston Read is part of the district’s Literacy by 3 movement, which aims to have all students reading on grade level by the end of third grade.</w:t>
            </w:r>
          </w:p>
          <w:p w:rsidR="005B28E7" w:rsidRDefault="005B28E7">
            <w:pPr>
              <w:pStyle w:val="NoSpacing"/>
              <w:rPr>
                <w:rFonts w:ascii="Calibri" w:hAnsi="Calibri"/>
                <w:sz w:val="22"/>
                <w:szCs w:val="22"/>
              </w:rPr>
            </w:pPr>
          </w:p>
          <w:p w:rsidR="005B28E7" w:rsidRDefault="005B28E7">
            <w:pPr>
              <w:pStyle w:val="NoSpacing"/>
              <w:rPr>
                <w:rFonts w:ascii="Calibri" w:hAnsi="Calibri"/>
                <w:sz w:val="22"/>
                <w:szCs w:val="22"/>
              </w:rPr>
            </w:pPr>
            <w:r>
              <w:rPr>
                <w:rFonts w:ascii="Calibri" w:hAnsi="Calibri"/>
                <w:sz w:val="22"/>
                <w:szCs w:val="22"/>
              </w:rPr>
              <w:t xml:space="preserve">During the event, a special video will be shown featuring the program’s top volunteers. The video can be watched by clicking </w:t>
            </w:r>
            <w:hyperlink r:id="rId5" w:history="1">
              <w:r>
                <w:rPr>
                  <w:rStyle w:val="Hyperlink"/>
                  <w:rFonts w:ascii="Calibri" w:hAnsi="Calibri"/>
                  <w:sz w:val="22"/>
                  <w:szCs w:val="22"/>
                </w:rPr>
                <w:t>here.</w:t>
              </w:r>
            </w:hyperlink>
          </w:p>
          <w:p w:rsidR="005B28E7" w:rsidRDefault="005B28E7">
            <w:pPr>
              <w:spacing w:line="252" w:lineRule="auto"/>
              <w:rPr>
                <w:rFonts w:ascii="Calibri" w:hAnsi="Calibri"/>
                <w:sz w:val="22"/>
                <w:szCs w:val="22"/>
              </w:rPr>
            </w:pPr>
          </w:p>
          <w:p w:rsidR="005B28E7" w:rsidRDefault="005B28E7">
            <w:pPr>
              <w:pStyle w:val="NoSpacing"/>
              <w:ind w:left="1440" w:hanging="1440"/>
              <w:jc w:val="center"/>
              <w:rPr>
                <w:rFonts w:ascii="Calibri" w:hAnsi="Calibri"/>
                <w:b/>
                <w:bCs/>
                <w:i/>
                <w:iCs/>
                <w:sz w:val="22"/>
                <w:szCs w:val="22"/>
              </w:rPr>
            </w:pPr>
            <w:r>
              <w:rPr>
                <w:rFonts w:ascii="Calibri" w:hAnsi="Calibri"/>
                <w:b/>
                <w:bCs/>
                <w:i/>
                <w:iCs/>
                <w:sz w:val="22"/>
                <w:szCs w:val="22"/>
              </w:rPr>
              <w:t>*Media are invited to attend and cover both awards ceremonies.</w:t>
            </w:r>
          </w:p>
          <w:p w:rsidR="005B28E7" w:rsidRDefault="005B28E7">
            <w:pPr>
              <w:spacing w:line="252" w:lineRule="auto"/>
              <w:rPr>
                <w:rFonts w:ascii="Calibri" w:hAnsi="Calibri"/>
                <w:sz w:val="22"/>
                <w:szCs w:val="22"/>
              </w:rPr>
            </w:pPr>
          </w:p>
        </w:tc>
      </w:tr>
      <w:tr w:rsidR="005B28E7" w:rsidTr="005B28E7">
        <w:trPr>
          <w:tblCellSpacing w:w="22" w:type="dxa"/>
        </w:trPr>
        <w:tc>
          <w:tcPr>
            <w:tcW w:w="798" w:type="pct"/>
            <w:tcMar>
              <w:top w:w="15" w:type="dxa"/>
              <w:left w:w="15" w:type="dxa"/>
              <w:bottom w:w="15" w:type="dxa"/>
              <w:right w:w="15" w:type="dxa"/>
            </w:tcMar>
            <w:hideMark/>
          </w:tcPr>
          <w:p w:rsidR="005B28E7" w:rsidRDefault="005B28E7">
            <w:pPr>
              <w:pStyle w:val="NormalWeb"/>
              <w:spacing w:line="252" w:lineRule="auto"/>
              <w:rPr>
                <w:rFonts w:ascii="Calibri" w:hAnsi="Calibri"/>
                <w:sz w:val="22"/>
                <w:szCs w:val="22"/>
              </w:rPr>
            </w:pPr>
            <w:r>
              <w:rPr>
                <w:rStyle w:val="Strong"/>
                <w:rFonts w:ascii="Calibri" w:hAnsi="Calibri"/>
                <w:sz w:val="22"/>
                <w:szCs w:val="22"/>
              </w:rPr>
              <w:t>Who:</w:t>
            </w:r>
          </w:p>
        </w:tc>
        <w:tc>
          <w:tcPr>
            <w:tcW w:w="0" w:type="auto"/>
            <w:tcMar>
              <w:top w:w="15" w:type="dxa"/>
              <w:left w:w="15" w:type="dxa"/>
              <w:bottom w:w="15" w:type="dxa"/>
              <w:right w:w="15" w:type="dxa"/>
            </w:tcMar>
            <w:vAlign w:val="center"/>
            <w:hideMark/>
          </w:tcPr>
          <w:p w:rsidR="005B28E7" w:rsidRDefault="005B28E7">
            <w:pPr>
              <w:pStyle w:val="NormalWeb"/>
              <w:spacing w:after="240" w:afterAutospacing="0" w:line="252" w:lineRule="auto"/>
              <w:rPr>
                <w:rFonts w:ascii="Calibri" w:hAnsi="Calibri"/>
                <w:sz w:val="22"/>
                <w:szCs w:val="22"/>
              </w:rPr>
            </w:pPr>
            <w:r>
              <w:rPr>
                <w:rFonts w:ascii="Calibri" w:hAnsi="Calibri"/>
                <w:b/>
                <w:bCs/>
                <w:sz w:val="22"/>
                <w:szCs w:val="22"/>
              </w:rPr>
              <w:t xml:space="preserve">District I Trustee Anna Eastman, District II Trustee Rhonda </w:t>
            </w:r>
            <w:proofErr w:type="spellStart"/>
            <w:r>
              <w:rPr>
                <w:rFonts w:ascii="Calibri" w:hAnsi="Calibri"/>
                <w:b/>
                <w:bCs/>
                <w:sz w:val="22"/>
                <w:szCs w:val="22"/>
              </w:rPr>
              <w:t>Skillern</w:t>
            </w:r>
            <w:proofErr w:type="spellEnd"/>
            <w:r>
              <w:rPr>
                <w:rFonts w:ascii="Calibri" w:hAnsi="Calibri"/>
                <w:b/>
                <w:bCs/>
                <w:sz w:val="22"/>
                <w:szCs w:val="22"/>
              </w:rPr>
              <w:t xml:space="preserve">-Jones, Chief Academic Officer Dr. Andrew </w:t>
            </w:r>
            <w:proofErr w:type="spellStart"/>
            <w:r>
              <w:rPr>
                <w:rFonts w:ascii="Calibri" w:hAnsi="Calibri"/>
                <w:b/>
                <w:bCs/>
                <w:sz w:val="22"/>
                <w:szCs w:val="22"/>
              </w:rPr>
              <w:t>Houlihan</w:t>
            </w:r>
            <w:proofErr w:type="spellEnd"/>
            <w:r>
              <w:rPr>
                <w:rFonts w:ascii="Calibri" w:hAnsi="Calibri"/>
                <w:b/>
                <w:bCs/>
                <w:sz w:val="22"/>
                <w:szCs w:val="22"/>
              </w:rPr>
              <w:t xml:space="preserve">, Officer of Elementary Curriculum and Development Lance </w:t>
            </w:r>
            <w:proofErr w:type="spellStart"/>
            <w:r>
              <w:rPr>
                <w:rFonts w:ascii="Calibri" w:hAnsi="Calibri"/>
                <w:b/>
                <w:bCs/>
                <w:sz w:val="22"/>
                <w:szCs w:val="22"/>
              </w:rPr>
              <w:t>Menster</w:t>
            </w:r>
            <w:proofErr w:type="spellEnd"/>
            <w:r>
              <w:rPr>
                <w:rFonts w:ascii="Calibri" w:hAnsi="Calibri"/>
                <w:b/>
                <w:bCs/>
                <w:sz w:val="22"/>
                <w:szCs w:val="22"/>
              </w:rPr>
              <w:t>, Literacy Director Cindy Puryear, Barbara Bush Houston Literacy Foundation Co-Chair Neil Bush, Barbara Bush Houston Literacy Foundation President Julie Baker-</w:t>
            </w:r>
            <w:proofErr w:type="spellStart"/>
            <w:r>
              <w:rPr>
                <w:rFonts w:ascii="Calibri" w:hAnsi="Calibri"/>
                <w:b/>
                <w:bCs/>
                <w:sz w:val="22"/>
                <w:szCs w:val="22"/>
              </w:rPr>
              <w:t>Finck</w:t>
            </w:r>
            <w:proofErr w:type="spellEnd"/>
            <w:r>
              <w:rPr>
                <w:rFonts w:ascii="Calibri" w:hAnsi="Calibri"/>
                <w:b/>
                <w:bCs/>
                <w:sz w:val="22"/>
                <w:szCs w:val="22"/>
              </w:rPr>
              <w:t xml:space="preserve">, </w:t>
            </w:r>
            <w:r>
              <w:rPr>
                <w:rFonts w:ascii="Calibri" w:hAnsi="Calibri"/>
                <w:sz w:val="22"/>
                <w:szCs w:val="22"/>
              </w:rPr>
              <w:t xml:space="preserve">HISD volunteers, principals, and teachers      </w:t>
            </w:r>
          </w:p>
        </w:tc>
      </w:tr>
      <w:tr w:rsidR="005B28E7" w:rsidTr="005B28E7">
        <w:trPr>
          <w:tblCellSpacing w:w="22" w:type="dxa"/>
        </w:trPr>
        <w:tc>
          <w:tcPr>
            <w:tcW w:w="798" w:type="pct"/>
            <w:tcMar>
              <w:top w:w="15" w:type="dxa"/>
              <w:left w:w="15" w:type="dxa"/>
              <w:bottom w:w="15" w:type="dxa"/>
              <w:right w:w="15" w:type="dxa"/>
            </w:tcMar>
          </w:tcPr>
          <w:p w:rsidR="005B28E7" w:rsidRDefault="005B28E7">
            <w:pPr>
              <w:pStyle w:val="NormalWeb"/>
              <w:spacing w:line="252" w:lineRule="auto"/>
              <w:rPr>
                <w:rFonts w:ascii="Calibri" w:hAnsi="Calibri"/>
                <w:b/>
                <w:bCs/>
                <w:sz w:val="22"/>
                <w:szCs w:val="22"/>
              </w:rPr>
            </w:pPr>
            <w:r>
              <w:rPr>
                <w:rStyle w:val="Strong"/>
                <w:rFonts w:ascii="Calibri" w:hAnsi="Calibri"/>
                <w:sz w:val="22"/>
                <w:szCs w:val="22"/>
              </w:rPr>
              <w:t>When:</w:t>
            </w:r>
          </w:p>
          <w:p w:rsidR="005B28E7" w:rsidRDefault="005B28E7">
            <w:pPr>
              <w:pStyle w:val="NormalWeb"/>
              <w:spacing w:line="252" w:lineRule="auto"/>
              <w:rPr>
                <w:rFonts w:ascii="Calibri" w:hAnsi="Calibri"/>
                <w:sz w:val="22"/>
                <w:szCs w:val="22"/>
              </w:rPr>
            </w:pPr>
          </w:p>
          <w:p w:rsidR="005B28E7" w:rsidRDefault="005B28E7">
            <w:pPr>
              <w:pStyle w:val="NormalWeb"/>
              <w:spacing w:line="252" w:lineRule="auto"/>
              <w:rPr>
                <w:rFonts w:ascii="Calibri" w:hAnsi="Calibri"/>
                <w:b/>
                <w:bCs/>
                <w:sz w:val="22"/>
                <w:szCs w:val="22"/>
              </w:rPr>
            </w:pPr>
            <w:r>
              <w:rPr>
                <w:rFonts w:ascii="Calibri" w:hAnsi="Calibri"/>
                <w:b/>
                <w:bCs/>
                <w:sz w:val="22"/>
                <w:szCs w:val="22"/>
              </w:rPr>
              <w:t>Where:</w:t>
            </w:r>
          </w:p>
        </w:tc>
        <w:tc>
          <w:tcPr>
            <w:tcW w:w="0" w:type="auto"/>
            <w:tcMar>
              <w:top w:w="15" w:type="dxa"/>
              <w:left w:w="15" w:type="dxa"/>
              <w:bottom w:w="15" w:type="dxa"/>
              <w:right w:w="15" w:type="dxa"/>
            </w:tcMar>
            <w:vAlign w:val="center"/>
          </w:tcPr>
          <w:p w:rsidR="005B28E7" w:rsidRDefault="005B28E7">
            <w:pPr>
              <w:ind w:right="50"/>
              <w:rPr>
                <w:rFonts w:ascii="Calibri" w:hAnsi="Calibri"/>
                <w:b/>
                <w:bCs/>
                <w:sz w:val="22"/>
                <w:szCs w:val="22"/>
              </w:rPr>
            </w:pPr>
            <w:r>
              <w:rPr>
                <w:rFonts w:ascii="Calibri" w:hAnsi="Calibri"/>
                <w:b/>
                <w:bCs/>
                <w:sz w:val="22"/>
                <w:szCs w:val="22"/>
              </w:rPr>
              <w:t>Friday, May 6, 2016, at 8:30 a.m.</w:t>
            </w:r>
          </w:p>
          <w:p w:rsidR="005B28E7" w:rsidRDefault="005B28E7">
            <w:pPr>
              <w:ind w:right="50"/>
              <w:rPr>
                <w:rFonts w:ascii="Calibri" w:hAnsi="Calibri"/>
                <w:b/>
                <w:bCs/>
                <w:sz w:val="22"/>
                <w:szCs w:val="22"/>
              </w:rPr>
            </w:pPr>
            <w:r>
              <w:rPr>
                <w:rFonts w:ascii="Calibri" w:hAnsi="Calibri"/>
                <w:b/>
                <w:bCs/>
                <w:sz w:val="22"/>
                <w:szCs w:val="22"/>
              </w:rPr>
              <w:t>Monday, May 9, 2016, at 8:30 a.m.</w:t>
            </w:r>
          </w:p>
          <w:p w:rsidR="005B28E7" w:rsidRDefault="005B28E7">
            <w:pPr>
              <w:ind w:right="50"/>
              <w:rPr>
                <w:rFonts w:ascii="Calibri" w:hAnsi="Calibri"/>
                <w:b/>
                <w:bCs/>
                <w:sz w:val="22"/>
                <w:szCs w:val="22"/>
              </w:rPr>
            </w:pPr>
          </w:p>
          <w:p w:rsidR="005B28E7" w:rsidRDefault="005B28E7">
            <w:pPr>
              <w:ind w:right="50"/>
              <w:rPr>
                <w:rFonts w:ascii="Calibri" w:hAnsi="Calibri"/>
                <w:sz w:val="22"/>
                <w:szCs w:val="22"/>
              </w:rPr>
            </w:pPr>
          </w:p>
          <w:p w:rsidR="005B28E7" w:rsidRDefault="005B28E7">
            <w:pPr>
              <w:ind w:right="50"/>
              <w:rPr>
                <w:rFonts w:ascii="Calibri" w:hAnsi="Calibri"/>
                <w:sz w:val="22"/>
                <w:szCs w:val="22"/>
              </w:rPr>
            </w:pPr>
            <w:r>
              <w:rPr>
                <w:rFonts w:ascii="Calibri" w:hAnsi="Calibri"/>
                <w:sz w:val="22"/>
                <w:szCs w:val="22"/>
              </w:rPr>
              <w:t>Children’s Museum of Houston</w:t>
            </w:r>
          </w:p>
          <w:p w:rsidR="005B28E7" w:rsidRDefault="005B28E7">
            <w:pPr>
              <w:ind w:right="50"/>
              <w:rPr>
                <w:rFonts w:ascii="Calibri" w:hAnsi="Calibri"/>
                <w:b/>
                <w:bCs/>
                <w:sz w:val="22"/>
                <w:szCs w:val="22"/>
              </w:rPr>
            </w:pPr>
            <w:r>
              <w:rPr>
                <w:rFonts w:ascii="Calibri" w:hAnsi="Calibri"/>
                <w:sz w:val="22"/>
                <w:szCs w:val="22"/>
              </w:rPr>
              <w:t xml:space="preserve">1500 </w:t>
            </w:r>
            <w:proofErr w:type="spellStart"/>
            <w:r>
              <w:rPr>
                <w:rFonts w:ascii="Calibri" w:hAnsi="Calibri"/>
                <w:sz w:val="22"/>
                <w:szCs w:val="22"/>
              </w:rPr>
              <w:t>Binz</w:t>
            </w:r>
            <w:proofErr w:type="spellEnd"/>
            <w:r>
              <w:rPr>
                <w:rFonts w:ascii="Calibri" w:hAnsi="Calibri"/>
                <w:sz w:val="22"/>
                <w:szCs w:val="22"/>
              </w:rPr>
              <w:t xml:space="preserve"> St., 77004        </w:t>
            </w:r>
          </w:p>
          <w:p w:rsidR="005B28E7" w:rsidRDefault="005B28E7">
            <w:pPr>
              <w:ind w:right="50"/>
              <w:rPr>
                <w:rFonts w:ascii="Calibri" w:hAnsi="Calibri"/>
                <w:b/>
                <w:bCs/>
                <w:sz w:val="22"/>
                <w:szCs w:val="22"/>
              </w:rPr>
            </w:pPr>
          </w:p>
          <w:p w:rsidR="005B28E7" w:rsidRDefault="005B28E7">
            <w:pPr>
              <w:pStyle w:val="NoSpacing"/>
              <w:spacing w:line="252" w:lineRule="auto"/>
              <w:rPr>
                <w:rFonts w:ascii="Calibri" w:hAnsi="Calibri"/>
                <w:b/>
                <w:bCs/>
                <w:sz w:val="22"/>
                <w:szCs w:val="22"/>
              </w:rPr>
            </w:pPr>
          </w:p>
          <w:p w:rsidR="005B28E7" w:rsidRDefault="005B28E7">
            <w:pPr>
              <w:pStyle w:val="NoSpacing"/>
              <w:spacing w:line="252" w:lineRule="auto"/>
              <w:rPr>
                <w:rFonts w:ascii="Calibri" w:hAnsi="Calibri"/>
                <w:sz w:val="22"/>
                <w:szCs w:val="22"/>
                <w:shd w:val="clear" w:color="auto" w:fill="FFFFFF"/>
              </w:rPr>
            </w:pPr>
          </w:p>
          <w:p w:rsidR="005B28E7" w:rsidRDefault="005B28E7">
            <w:pPr>
              <w:spacing w:line="252" w:lineRule="auto"/>
              <w:rPr>
                <w:sz w:val="22"/>
                <w:szCs w:val="22"/>
              </w:rPr>
            </w:pPr>
          </w:p>
        </w:tc>
      </w:tr>
    </w:tbl>
    <w:p w:rsidR="00CF5AA3" w:rsidRDefault="005B28E7">
      <w:bookmarkStart w:id="0" w:name="_GoBack"/>
      <w:bookmarkEnd w:id="0"/>
      <w:r>
        <w:rPr>
          <w:noProof/>
        </w:rPr>
        <w:lastRenderedPageBreak/>
        <w:drawing>
          <wp:anchor distT="0" distB="0" distL="114300" distR="114300" simplePos="0" relativeHeight="251659264" behindDoc="0" locked="0" layoutInCell="1" allowOverlap="1">
            <wp:simplePos x="0" y="0"/>
            <wp:positionH relativeFrom="page">
              <wp:align>right</wp:align>
            </wp:positionH>
            <wp:positionV relativeFrom="page">
              <wp:posOffset>8209915</wp:posOffset>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F5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8E7"/>
    <w:rsid w:val="005B28E7"/>
    <w:rsid w:val="00CF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E7E9A-9094-4AC3-9890-603D8953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8E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28E7"/>
    <w:rPr>
      <w:color w:val="0563C1"/>
      <w:u w:val="single"/>
    </w:rPr>
  </w:style>
  <w:style w:type="paragraph" w:styleId="NormalWeb">
    <w:name w:val="Normal (Web)"/>
    <w:basedOn w:val="Normal"/>
    <w:uiPriority w:val="99"/>
    <w:semiHidden/>
    <w:unhideWhenUsed/>
    <w:rsid w:val="005B28E7"/>
    <w:pPr>
      <w:spacing w:before="100" w:beforeAutospacing="1" w:after="100" w:afterAutospacing="1"/>
    </w:pPr>
  </w:style>
  <w:style w:type="paragraph" w:styleId="NoSpacing">
    <w:name w:val="No Spacing"/>
    <w:basedOn w:val="Normal"/>
    <w:uiPriority w:val="1"/>
    <w:qFormat/>
    <w:rsid w:val="005B28E7"/>
  </w:style>
  <w:style w:type="character" w:styleId="Strong">
    <w:name w:val="Strong"/>
    <w:basedOn w:val="DefaultParagraphFont"/>
    <w:uiPriority w:val="22"/>
    <w:qFormat/>
    <w:rsid w:val="005B28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bit.ly/1W5nIte"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2016-06-13T16:31:00Z</dcterms:created>
  <dcterms:modified xsi:type="dcterms:W3CDTF">2016-06-13T16:33:00Z</dcterms:modified>
</cp:coreProperties>
</file>