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37" w:rsidRDefault="00D57D37" w:rsidP="00D57D37">
      <w:pPr>
        <w:pStyle w:val="NormalWeb"/>
        <w:jc w:val="center"/>
        <w:rPr>
          <w:rFonts w:ascii="Calibri" w:hAnsi="Calibri"/>
          <w:b/>
          <w:bCs/>
          <w:sz w:val="52"/>
          <w:szCs w:val="52"/>
        </w:rPr>
      </w:pPr>
      <w:bookmarkStart w:id="0" w:name="_GoBack"/>
      <w:r>
        <w:rPr>
          <w:noProof/>
        </w:rPr>
        <w:drawing>
          <wp:anchor distT="0" distB="0" distL="114300" distR="114300" simplePos="0" relativeHeight="251658240" behindDoc="0" locked="0" layoutInCell="1" allowOverlap="1" wp14:anchorId="0F714DD4" wp14:editId="08C38786">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52"/>
          <w:szCs w:val="52"/>
        </w:rPr>
        <w:t>Condit ES ‘Walk the Halls’ event gives community last chance to visit old building</w:t>
      </w:r>
    </w:p>
    <w:bookmarkEnd w:id="0"/>
    <w:p w:rsidR="00D57D37" w:rsidRDefault="00D57D37" w:rsidP="00D57D37">
      <w:pPr>
        <w:jc w:val="center"/>
        <w:rPr>
          <w:rFonts w:ascii="Calibri" w:hAnsi="Calibri"/>
          <w:i/>
          <w:iCs/>
        </w:rPr>
      </w:pPr>
      <w:r>
        <w:rPr>
          <w:rFonts w:ascii="Calibri" w:hAnsi="Calibri"/>
          <w:i/>
          <w:iCs/>
        </w:rPr>
        <w:t>Building to be demolished after new school is completed this summer as part of 2012 Bond</w:t>
      </w:r>
    </w:p>
    <w:p w:rsidR="00D57D37" w:rsidRDefault="00D57D37" w:rsidP="00D57D37">
      <w:pPr>
        <w:jc w:val="center"/>
        <w:rPr>
          <w:rFonts w:ascii="Calibri" w:hAnsi="Calibri"/>
          <w:i/>
          <w:iCs/>
        </w:rPr>
      </w:pPr>
    </w:p>
    <w:p w:rsidR="00D57D37" w:rsidRDefault="00D57D37" w:rsidP="00D57D37">
      <w:pPr>
        <w:jc w:val="center"/>
        <w:rPr>
          <w:rFonts w:ascii="Calibri" w:hAnsi="Calibri"/>
          <w:i/>
          <w:iCs/>
        </w:rPr>
      </w:pPr>
    </w:p>
    <w:tbl>
      <w:tblPr>
        <w:tblW w:w="5000" w:type="pct"/>
        <w:tblCellSpacing w:w="15" w:type="dxa"/>
        <w:tblCellMar>
          <w:left w:w="0" w:type="dxa"/>
          <w:right w:w="0" w:type="dxa"/>
        </w:tblCellMar>
        <w:tblLook w:val="04A0" w:firstRow="1" w:lastRow="0" w:firstColumn="1" w:lastColumn="0" w:noHBand="0" w:noVBand="1"/>
      </w:tblPr>
      <w:tblGrid>
        <w:gridCol w:w="1545"/>
        <w:gridCol w:w="7815"/>
      </w:tblGrid>
      <w:tr w:rsidR="00D57D37" w:rsidTr="00D57D37">
        <w:trPr>
          <w:tblCellSpacing w:w="15" w:type="dxa"/>
        </w:trPr>
        <w:tc>
          <w:tcPr>
            <w:tcW w:w="801" w:type="pct"/>
            <w:tcMar>
              <w:top w:w="15" w:type="dxa"/>
              <w:left w:w="15" w:type="dxa"/>
              <w:bottom w:w="15" w:type="dxa"/>
              <w:right w:w="15" w:type="dxa"/>
            </w:tcMar>
            <w:hideMark/>
          </w:tcPr>
          <w:p w:rsidR="00D57D37" w:rsidRDefault="00D57D37">
            <w:pPr>
              <w:pStyle w:val="NormalWeb"/>
              <w:spacing w:line="252" w:lineRule="auto"/>
              <w:rPr>
                <w:rFonts w:ascii="Calibri" w:hAnsi="Calibri"/>
                <w:sz w:val="22"/>
                <w:szCs w:val="22"/>
              </w:rPr>
            </w:pPr>
            <w:r>
              <w:rPr>
                <w:rStyle w:val="Strong"/>
                <w:rFonts w:ascii="Calibri" w:hAnsi="Calibri"/>
                <w:sz w:val="22"/>
                <w:szCs w:val="22"/>
              </w:rPr>
              <w:t>What:</w:t>
            </w:r>
          </w:p>
        </w:tc>
        <w:tc>
          <w:tcPr>
            <w:tcW w:w="4151" w:type="pct"/>
            <w:tcMar>
              <w:top w:w="15" w:type="dxa"/>
              <w:left w:w="15" w:type="dxa"/>
              <w:bottom w:w="15" w:type="dxa"/>
              <w:right w:w="15" w:type="dxa"/>
            </w:tcMar>
            <w:vAlign w:val="center"/>
          </w:tcPr>
          <w:p w:rsidR="00D57D37" w:rsidRDefault="00D57D37">
            <w:pPr>
              <w:spacing w:line="252" w:lineRule="auto"/>
              <w:rPr>
                <w:rFonts w:ascii="Calibri" w:hAnsi="Calibri"/>
                <w:sz w:val="22"/>
                <w:szCs w:val="22"/>
              </w:rPr>
            </w:pPr>
            <w:r>
              <w:rPr>
                <w:rFonts w:ascii="Calibri" w:hAnsi="Calibri"/>
                <w:sz w:val="22"/>
                <w:szCs w:val="22"/>
              </w:rPr>
              <w:t>Condit Elementary School supporters will have the opportunity to visit the campus, which is being demolished, one last time during a Walk the Halls event this weekend.</w:t>
            </w:r>
          </w:p>
          <w:p w:rsidR="00D57D37" w:rsidRDefault="00D57D37">
            <w:pPr>
              <w:spacing w:line="252" w:lineRule="auto"/>
              <w:rPr>
                <w:rFonts w:ascii="Calibri" w:hAnsi="Calibri"/>
                <w:sz w:val="22"/>
                <w:szCs w:val="22"/>
              </w:rPr>
            </w:pPr>
          </w:p>
          <w:p w:rsidR="00D57D37" w:rsidRDefault="00D57D37">
            <w:pPr>
              <w:spacing w:line="252" w:lineRule="auto"/>
              <w:rPr>
                <w:rFonts w:ascii="Calibri" w:hAnsi="Calibri"/>
                <w:sz w:val="22"/>
                <w:szCs w:val="22"/>
              </w:rPr>
            </w:pPr>
            <w:r>
              <w:rPr>
                <w:rFonts w:ascii="Calibri" w:hAnsi="Calibri"/>
                <w:sz w:val="22"/>
                <w:szCs w:val="22"/>
              </w:rPr>
              <w:t>Located in Bellaire, Condit is being rebuilt as part of the Houston Independent School District’s 2012 Bond Program. Their new school, which will accommodate 750 students, will open its doors for the start of the 2016-2017 school year. Once the new school is complete, the old building will be demolished.</w:t>
            </w:r>
          </w:p>
          <w:p w:rsidR="00D57D37" w:rsidRDefault="00D57D37">
            <w:pPr>
              <w:spacing w:line="252" w:lineRule="auto"/>
              <w:rPr>
                <w:rFonts w:ascii="Calibri" w:hAnsi="Calibri"/>
                <w:sz w:val="22"/>
                <w:szCs w:val="22"/>
              </w:rPr>
            </w:pPr>
          </w:p>
          <w:p w:rsidR="00D57D37" w:rsidRDefault="00D57D37">
            <w:pPr>
              <w:spacing w:line="252" w:lineRule="auto"/>
              <w:rPr>
                <w:rFonts w:ascii="Calibri" w:hAnsi="Calibri"/>
                <w:sz w:val="22"/>
                <w:szCs w:val="22"/>
              </w:rPr>
            </w:pPr>
            <w:r>
              <w:rPr>
                <w:rFonts w:ascii="Calibri" w:hAnsi="Calibri"/>
                <w:sz w:val="22"/>
                <w:szCs w:val="22"/>
              </w:rPr>
              <w:t>The Walk the Halls event is designed to give community members a chance to visit the school, take pictures, and catch up with former staff and classmates. Attendees will be able to sign their names and write well-wishes on one of the walls.</w:t>
            </w:r>
          </w:p>
          <w:p w:rsidR="00D57D37" w:rsidRDefault="00D57D37">
            <w:pPr>
              <w:spacing w:line="252" w:lineRule="auto"/>
              <w:rPr>
                <w:rFonts w:ascii="Calibri" w:hAnsi="Calibri"/>
                <w:sz w:val="22"/>
                <w:szCs w:val="22"/>
              </w:rPr>
            </w:pPr>
          </w:p>
          <w:p w:rsidR="00D57D37" w:rsidRDefault="00D57D37">
            <w:pPr>
              <w:spacing w:line="252" w:lineRule="auto"/>
              <w:rPr>
                <w:rFonts w:ascii="Calibri" w:hAnsi="Calibri"/>
                <w:sz w:val="22"/>
                <w:szCs w:val="22"/>
              </w:rPr>
            </w:pPr>
            <w:r>
              <w:rPr>
                <w:rFonts w:ascii="Calibri" w:hAnsi="Calibri"/>
                <w:sz w:val="22"/>
                <w:szCs w:val="22"/>
              </w:rPr>
              <w:t>Condit is among 40 schools across the district being renovated or rebuilt as part of HISD’s voter-approved 2012 Bond Program. Construction is underway at nearly two-dozen campuses, the most at one time in district history. One school already has been completed. Six more, including Condit, are set to open for the 2016-2017 school year.</w:t>
            </w:r>
          </w:p>
          <w:p w:rsidR="00D57D37" w:rsidRDefault="00D57D37">
            <w:pPr>
              <w:spacing w:line="252" w:lineRule="auto"/>
              <w:rPr>
                <w:rFonts w:ascii="Calibri" w:hAnsi="Calibri"/>
                <w:sz w:val="22"/>
                <w:szCs w:val="22"/>
              </w:rPr>
            </w:pPr>
          </w:p>
        </w:tc>
      </w:tr>
      <w:tr w:rsidR="00D57D37" w:rsidTr="00D57D37">
        <w:trPr>
          <w:tblCellSpacing w:w="15" w:type="dxa"/>
        </w:trPr>
        <w:tc>
          <w:tcPr>
            <w:tcW w:w="801" w:type="pct"/>
            <w:tcMar>
              <w:top w:w="15" w:type="dxa"/>
              <w:left w:w="15" w:type="dxa"/>
              <w:bottom w:w="15" w:type="dxa"/>
              <w:right w:w="15" w:type="dxa"/>
            </w:tcMar>
            <w:hideMark/>
          </w:tcPr>
          <w:p w:rsidR="00D57D37" w:rsidRDefault="00D57D37">
            <w:pPr>
              <w:pStyle w:val="NormalWeb"/>
              <w:spacing w:line="252" w:lineRule="auto"/>
              <w:rPr>
                <w:rFonts w:ascii="Calibri" w:hAnsi="Calibri"/>
                <w:sz w:val="22"/>
                <w:szCs w:val="22"/>
              </w:rPr>
            </w:pPr>
            <w:r>
              <w:rPr>
                <w:rStyle w:val="Strong"/>
                <w:rFonts w:ascii="Calibri" w:hAnsi="Calibri"/>
                <w:sz w:val="22"/>
                <w:szCs w:val="22"/>
              </w:rPr>
              <w:t>Who:</w:t>
            </w:r>
          </w:p>
        </w:tc>
        <w:tc>
          <w:tcPr>
            <w:tcW w:w="0" w:type="auto"/>
            <w:tcMar>
              <w:top w:w="15" w:type="dxa"/>
              <w:left w:w="15" w:type="dxa"/>
              <w:bottom w:w="15" w:type="dxa"/>
              <w:right w:w="15" w:type="dxa"/>
            </w:tcMar>
            <w:vAlign w:val="center"/>
            <w:hideMark/>
          </w:tcPr>
          <w:p w:rsidR="00D57D37" w:rsidRDefault="00D57D37">
            <w:pPr>
              <w:pStyle w:val="NormalWeb"/>
              <w:spacing w:after="240" w:afterAutospacing="0" w:line="252" w:lineRule="auto"/>
              <w:rPr>
                <w:rFonts w:ascii="Calibri" w:hAnsi="Calibri"/>
                <w:sz w:val="22"/>
                <w:szCs w:val="22"/>
              </w:rPr>
            </w:pPr>
            <w:r>
              <w:rPr>
                <w:rFonts w:ascii="Calibri" w:hAnsi="Calibri"/>
                <w:sz w:val="22"/>
                <w:szCs w:val="22"/>
              </w:rPr>
              <w:t xml:space="preserve">Condit Principal Dan Greenberg, as well as other current and former administrators, teachers, students, parents and community members </w:t>
            </w:r>
          </w:p>
        </w:tc>
      </w:tr>
      <w:tr w:rsidR="00D57D37" w:rsidTr="00D57D37">
        <w:trPr>
          <w:tblCellSpacing w:w="15" w:type="dxa"/>
        </w:trPr>
        <w:tc>
          <w:tcPr>
            <w:tcW w:w="801" w:type="pct"/>
            <w:tcMar>
              <w:top w:w="15" w:type="dxa"/>
              <w:left w:w="15" w:type="dxa"/>
              <w:bottom w:w="15" w:type="dxa"/>
              <w:right w:w="15" w:type="dxa"/>
            </w:tcMar>
            <w:hideMark/>
          </w:tcPr>
          <w:p w:rsidR="00D57D37" w:rsidRDefault="00D57D37">
            <w:pPr>
              <w:pStyle w:val="NormalWeb"/>
              <w:spacing w:line="252" w:lineRule="auto"/>
              <w:rPr>
                <w:rFonts w:ascii="Calibri" w:hAnsi="Calibri"/>
                <w:sz w:val="22"/>
                <w:szCs w:val="22"/>
              </w:rPr>
            </w:pPr>
            <w:r>
              <w:rPr>
                <w:rStyle w:val="Strong"/>
                <w:rFonts w:ascii="Calibri" w:hAnsi="Calibri"/>
                <w:sz w:val="22"/>
                <w:szCs w:val="22"/>
              </w:rPr>
              <w:t>When:</w:t>
            </w:r>
          </w:p>
        </w:tc>
        <w:tc>
          <w:tcPr>
            <w:tcW w:w="0" w:type="auto"/>
            <w:tcMar>
              <w:top w:w="15" w:type="dxa"/>
              <w:left w:w="15" w:type="dxa"/>
              <w:bottom w:w="15" w:type="dxa"/>
              <w:right w:w="15" w:type="dxa"/>
            </w:tcMar>
            <w:vAlign w:val="center"/>
          </w:tcPr>
          <w:p w:rsidR="00D57D37" w:rsidRDefault="00D57D37">
            <w:pPr>
              <w:pStyle w:val="NoSpacing"/>
              <w:spacing w:line="252" w:lineRule="auto"/>
              <w:rPr>
                <w:rFonts w:ascii="Calibri" w:hAnsi="Calibri"/>
                <w:color w:val="000000"/>
                <w:sz w:val="22"/>
                <w:szCs w:val="22"/>
              </w:rPr>
            </w:pPr>
            <w:r>
              <w:rPr>
                <w:rFonts w:ascii="Calibri" w:hAnsi="Calibri"/>
                <w:b/>
                <w:bCs/>
                <w:sz w:val="22"/>
                <w:szCs w:val="22"/>
                <w:u w:val="single"/>
              </w:rPr>
              <w:t>Sunday, May 22, 2016, from 2 to 4 p.m.</w:t>
            </w:r>
            <w:r>
              <w:rPr>
                <w:rFonts w:ascii="Calibri" w:hAnsi="Calibri"/>
                <w:b/>
                <w:bCs/>
                <w:sz w:val="22"/>
                <w:szCs w:val="22"/>
              </w:rPr>
              <w:t xml:space="preserve"> </w:t>
            </w:r>
          </w:p>
          <w:p w:rsidR="00D57D37" w:rsidRDefault="00D57D37">
            <w:pPr>
              <w:pStyle w:val="NoSpacing"/>
              <w:spacing w:line="252" w:lineRule="auto"/>
              <w:rPr>
                <w:rFonts w:ascii="Calibri" w:hAnsi="Calibri"/>
                <w:sz w:val="22"/>
                <w:szCs w:val="22"/>
              </w:rPr>
            </w:pPr>
          </w:p>
        </w:tc>
      </w:tr>
      <w:tr w:rsidR="00D57D37" w:rsidTr="00D57D37">
        <w:trPr>
          <w:tblCellSpacing w:w="15" w:type="dxa"/>
        </w:trPr>
        <w:tc>
          <w:tcPr>
            <w:tcW w:w="801" w:type="pct"/>
            <w:tcMar>
              <w:top w:w="15" w:type="dxa"/>
              <w:left w:w="15" w:type="dxa"/>
              <w:bottom w:w="15" w:type="dxa"/>
              <w:right w:w="15" w:type="dxa"/>
            </w:tcMar>
            <w:hideMark/>
          </w:tcPr>
          <w:p w:rsidR="00D57D37" w:rsidRDefault="00D57D37">
            <w:pPr>
              <w:pStyle w:val="NormalWeb"/>
              <w:spacing w:line="252" w:lineRule="auto"/>
              <w:rPr>
                <w:rFonts w:ascii="Calibri" w:hAnsi="Calibri"/>
                <w:b/>
                <w:bCs/>
                <w:sz w:val="22"/>
                <w:szCs w:val="22"/>
              </w:rPr>
            </w:pPr>
            <w:r>
              <w:rPr>
                <w:rStyle w:val="Strong"/>
                <w:rFonts w:ascii="Calibri" w:hAnsi="Calibri"/>
                <w:sz w:val="22"/>
                <w:szCs w:val="22"/>
              </w:rPr>
              <w:t>Where:</w:t>
            </w:r>
          </w:p>
        </w:tc>
        <w:tc>
          <w:tcPr>
            <w:tcW w:w="0" w:type="auto"/>
            <w:tcMar>
              <w:top w:w="15" w:type="dxa"/>
              <w:left w:w="15" w:type="dxa"/>
              <w:bottom w:w="15" w:type="dxa"/>
              <w:right w:w="15" w:type="dxa"/>
            </w:tcMar>
            <w:vAlign w:val="center"/>
          </w:tcPr>
          <w:p w:rsidR="00D57D37" w:rsidRDefault="00D57D37">
            <w:pPr>
              <w:pStyle w:val="NoSpacing"/>
              <w:spacing w:line="252" w:lineRule="auto"/>
              <w:rPr>
                <w:rFonts w:ascii="Calibri" w:hAnsi="Calibri"/>
                <w:sz w:val="22"/>
                <w:szCs w:val="22"/>
              </w:rPr>
            </w:pPr>
            <w:r>
              <w:rPr>
                <w:rFonts w:ascii="Calibri" w:hAnsi="Calibri"/>
                <w:sz w:val="22"/>
                <w:szCs w:val="22"/>
              </w:rPr>
              <w:t>Condit Elementary School, 7000 South 3rd St., 77401</w:t>
            </w:r>
          </w:p>
          <w:p w:rsidR="00D57D37" w:rsidRDefault="00D57D37">
            <w:pPr>
              <w:pStyle w:val="NoSpacing"/>
              <w:spacing w:line="252" w:lineRule="auto"/>
              <w:rPr>
                <w:rFonts w:ascii="Calibri" w:hAnsi="Calibri"/>
                <w:b/>
                <w:bCs/>
                <w:sz w:val="22"/>
                <w:szCs w:val="22"/>
                <w:u w:val="single"/>
              </w:rPr>
            </w:pPr>
          </w:p>
        </w:tc>
      </w:tr>
    </w:tbl>
    <w:p w:rsidR="007C6DAA" w:rsidRDefault="00D57D37">
      <w:r>
        <w:rPr>
          <w:noProof/>
        </w:rPr>
        <w:drawing>
          <wp:anchor distT="0" distB="0" distL="114300" distR="114300" simplePos="0" relativeHeight="251659264" behindDoc="0" locked="0" layoutInCell="1" allowOverlap="1" wp14:anchorId="48629C5E" wp14:editId="0A15AC64">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C6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37"/>
    <w:rsid w:val="007C6DAA"/>
    <w:rsid w:val="00D5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E2618-2C11-4333-B1D0-7C4AE65E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D37"/>
    <w:pPr>
      <w:spacing w:before="100" w:beforeAutospacing="1" w:after="100" w:afterAutospacing="1"/>
    </w:pPr>
  </w:style>
  <w:style w:type="paragraph" w:styleId="NoSpacing">
    <w:name w:val="No Spacing"/>
    <w:basedOn w:val="Normal"/>
    <w:uiPriority w:val="1"/>
    <w:qFormat/>
    <w:rsid w:val="00D57D37"/>
  </w:style>
  <w:style w:type="character" w:styleId="Strong">
    <w:name w:val="Strong"/>
    <w:basedOn w:val="DefaultParagraphFont"/>
    <w:uiPriority w:val="22"/>
    <w:qFormat/>
    <w:rsid w:val="00D57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2016-06-15T18:37:00Z</dcterms:created>
  <dcterms:modified xsi:type="dcterms:W3CDTF">2016-06-15T18:38:00Z</dcterms:modified>
</cp:coreProperties>
</file>