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C166DE">
      <w:r>
        <w:rPr>
          <w:noProof/>
        </w:rPr>
        <w:drawing>
          <wp:inline distT="0" distB="0" distL="0" distR="0">
            <wp:extent cx="5943600" cy="1398494"/>
            <wp:effectExtent l="0" t="0" r="0" b="0"/>
            <wp:docPr id="1" name="Picture 1" descr="cid:image001.gif@01D3167D.07F9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167D.07F9A2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C166DE" w:rsidRPr="00C166DE" w:rsidRDefault="00C166DE" w:rsidP="00C166DE">
      <w:pPr>
        <w:jc w:val="center"/>
        <w:rPr>
          <w:b/>
          <w:bCs/>
          <w:sz w:val="48"/>
          <w:szCs w:val="48"/>
        </w:rPr>
      </w:pPr>
      <w:bookmarkStart w:id="0" w:name="_GoBack"/>
      <w:r w:rsidRPr="00C166DE">
        <w:rPr>
          <w:b/>
          <w:bCs/>
          <w:sz w:val="48"/>
          <w:szCs w:val="48"/>
        </w:rPr>
        <w:t xml:space="preserve">Community to rally behind </w:t>
      </w:r>
      <w:proofErr w:type="spellStart"/>
      <w:r w:rsidRPr="00C166DE">
        <w:rPr>
          <w:b/>
          <w:bCs/>
          <w:sz w:val="48"/>
          <w:szCs w:val="48"/>
        </w:rPr>
        <w:t>Mading</w:t>
      </w:r>
      <w:proofErr w:type="spellEnd"/>
      <w:r w:rsidRPr="00C166DE">
        <w:rPr>
          <w:b/>
          <w:bCs/>
          <w:sz w:val="48"/>
          <w:szCs w:val="48"/>
        </w:rPr>
        <w:t xml:space="preserve"> ES students during pre-STAAR pep rally</w:t>
      </w:r>
    </w:p>
    <w:tbl>
      <w:tblPr>
        <w:tblW w:w="5000" w:type="pct"/>
        <w:tblCellSpacing w:w="22" w:type="dxa"/>
        <w:tblCellMar>
          <w:left w:w="0" w:type="dxa"/>
          <w:right w:w="0" w:type="dxa"/>
        </w:tblCellMar>
        <w:tblLook w:val="04A0" w:firstRow="1" w:lastRow="0" w:firstColumn="1" w:lastColumn="0" w:noHBand="0" w:noVBand="1"/>
      </w:tblPr>
      <w:tblGrid>
        <w:gridCol w:w="1316"/>
        <w:gridCol w:w="1885"/>
        <w:gridCol w:w="6159"/>
      </w:tblGrid>
      <w:tr w:rsidR="00C166DE" w:rsidRPr="00C166DE" w:rsidTr="00C166DE">
        <w:trPr>
          <w:tblCellSpacing w:w="22" w:type="dxa"/>
        </w:trPr>
        <w:tc>
          <w:tcPr>
            <w:tcW w:w="674" w:type="pct"/>
            <w:tcMar>
              <w:top w:w="15" w:type="dxa"/>
              <w:left w:w="15" w:type="dxa"/>
              <w:bottom w:w="15" w:type="dxa"/>
              <w:right w:w="15" w:type="dxa"/>
            </w:tcMar>
            <w:hideMark/>
          </w:tcPr>
          <w:bookmarkEnd w:id="0"/>
          <w:p w:rsidR="00C166DE" w:rsidRPr="00C166DE" w:rsidRDefault="00C166DE" w:rsidP="00C166DE">
            <w:r w:rsidRPr="00C166DE">
              <w:rPr>
                <w:b/>
                <w:bCs/>
              </w:rPr>
              <w:t>What:</w:t>
            </w:r>
          </w:p>
        </w:tc>
        <w:tc>
          <w:tcPr>
            <w:tcW w:w="4278" w:type="pct"/>
            <w:gridSpan w:val="2"/>
            <w:tcMar>
              <w:top w:w="15" w:type="dxa"/>
              <w:left w:w="15" w:type="dxa"/>
              <w:bottom w:w="15" w:type="dxa"/>
              <w:right w:w="15" w:type="dxa"/>
            </w:tcMar>
            <w:vAlign w:val="center"/>
          </w:tcPr>
          <w:p w:rsidR="00C166DE" w:rsidRPr="00C166DE" w:rsidRDefault="00C166DE" w:rsidP="00C166DE">
            <w:proofErr w:type="spellStart"/>
            <w:r w:rsidRPr="00C166DE">
              <w:t>Mading</w:t>
            </w:r>
            <w:proofErr w:type="spellEnd"/>
            <w:r w:rsidRPr="00C166DE">
              <w:t xml:space="preserve"> Elementary School will host a community pep rally to motivate students who will be taking the final round of STAAR assessments. The school’s theme for the year is “Anchored Learning Stimulates Ef</w:t>
            </w:r>
            <w:r>
              <w:t>fective Engagement and Equity.”</w:t>
            </w:r>
          </w:p>
          <w:p w:rsidR="00C166DE" w:rsidRPr="00C166DE" w:rsidRDefault="00C166DE" w:rsidP="00C166DE">
            <w:r w:rsidRPr="00C166DE">
              <w:t xml:space="preserve">“Preliminary data shows our fifth-graders who already took the STAAR did extremely well,” </w:t>
            </w:r>
            <w:proofErr w:type="spellStart"/>
            <w:r w:rsidRPr="00C166DE">
              <w:t>Mading</w:t>
            </w:r>
            <w:proofErr w:type="spellEnd"/>
            <w:r w:rsidRPr="00C166DE">
              <w:t xml:space="preserve"> Principal Nicole Haskins said. “We felt it was important to encourage and motivate the rest of our scholars who will take the test next week, and let them know we believe their hard work all year is about to pay off, and that their entire community is right there with them.”  </w:t>
            </w:r>
          </w:p>
        </w:tc>
      </w:tr>
      <w:tr w:rsidR="00C166DE" w:rsidRPr="00C166DE" w:rsidTr="00C166DE">
        <w:trPr>
          <w:tblCellSpacing w:w="22" w:type="dxa"/>
        </w:trPr>
        <w:tc>
          <w:tcPr>
            <w:tcW w:w="1667" w:type="pct"/>
            <w:gridSpan w:val="2"/>
            <w:tcMar>
              <w:top w:w="15" w:type="dxa"/>
              <w:left w:w="15" w:type="dxa"/>
              <w:bottom w:w="15" w:type="dxa"/>
              <w:right w:w="15" w:type="dxa"/>
            </w:tcMar>
          </w:tcPr>
          <w:p w:rsidR="00C166DE" w:rsidRPr="00C166DE" w:rsidRDefault="00C166DE" w:rsidP="00C166DE">
            <w:pPr>
              <w:rPr>
                <w:b/>
                <w:bCs/>
                <w:i/>
                <w:iCs/>
              </w:rPr>
            </w:pPr>
          </w:p>
        </w:tc>
        <w:tc>
          <w:tcPr>
            <w:tcW w:w="3285" w:type="pct"/>
            <w:tcMar>
              <w:top w:w="15" w:type="dxa"/>
              <w:left w:w="15" w:type="dxa"/>
              <w:bottom w:w="15" w:type="dxa"/>
              <w:right w:w="15" w:type="dxa"/>
            </w:tcMar>
            <w:vAlign w:val="center"/>
          </w:tcPr>
          <w:p w:rsidR="00C166DE" w:rsidRPr="00C166DE" w:rsidRDefault="00C166DE" w:rsidP="00C166DE"/>
        </w:tc>
      </w:tr>
      <w:tr w:rsidR="00C166DE" w:rsidRPr="00C166DE" w:rsidTr="00C166DE">
        <w:trPr>
          <w:tblCellSpacing w:w="22" w:type="dxa"/>
        </w:trPr>
        <w:tc>
          <w:tcPr>
            <w:tcW w:w="674" w:type="pct"/>
            <w:tcMar>
              <w:top w:w="15" w:type="dxa"/>
              <w:left w:w="15" w:type="dxa"/>
              <w:bottom w:w="15" w:type="dxa"/>
              <w:right w:w="15" w:type="dxa"/>
            </w:tcMar>
            <w:hideMark/>
          </w:tcPr>
          <w:p w:rsidR="00C166DE" w:rsidRPr="00C166DE" w:rsidRDefault="00C166DE" w:rsidP="00C166DE">
            <w:r w:rsidRPr="00C166DE">
              <w:rPr>
                <w:b/>
                <w:bCs/>
              </w:rPr>
              <w:t>Who:</w:t>
            </w:r>
          </w:p>
        </w:tc>
        <w:tc>
          <w:tcPr>
            <w:tcW w:w="4278" w:type="pct"/>
            <w:gridSpan w:val="2"/>
            <w:tcMar>
              <w:top w:w="15" w:type="dxa"/>
              <w:left w:w="15" w:type="dxa"/>
              <w:bottom w:w="15" w:type="dxa"/>
              <w:right w:w="15" w:type="dxa"/>
            </w:tcMar>
            <w:vAlign w:val="center"/>
            <w:hideMark/>
          </w:tcPr>
          <w:p w:rsidR="00C166DE" w:rsidRPr="00C166DE" w:rsidRDefault="00C166DE" w:rsidP="00C166DE">
            <w:r w:rsidRPr="00C166DE">
              <w:t xml:space="preserve">Houston Texans player </w:t>
            </w:r>
            <w:r w:rsidRPr="00C166DE">
              <w:rPr>
                <w:b/>
                <w:bCs/>
              </w:rPr>
              <w:t>Josh Thornton</w:t>
            </w:r>
            <w:r w:rsidRPr="00C166DE">
              <w:t xml:space="preserve">; </w:t>
            </w:r>
            <w:proofErr w:type="spellStart"/>
            <w:r w:rsidRPr="00C166DE">
              <w:t>Mading</w:t>
            </w:r>
            <w:proofErr w:type="spellEnd"/>
            <w:r w:rsidRPr="00C166DE">
              <w:t xml:space="preserve"> parents, students, and staff </w:t>
            </w:r>
          </w:p>
        </w:tc>
      </w:tr>
      <w:tr w:rsidR="00C166DE" w:rsidRPr="00C166DE" w:rsidTr="00C166DE">
        <w:trPr>
          <w:tblCellSpacing w:w="22" w:type="dxa"/>
        </w:trPr>
        <w:tc>
          <w:tcPr>
            <w:tcW w:w="674" w:type="pct"/>
            <w:tcMar>
              <w:top w:w="15" w:type="dxa"/>
              <w:left w:w="15" w:type="dxa"/>
              <w:bottom w:w="15" w:type="dxa"/>
              <w:right w:w="15" w:type="dxa"/>
            </w:tcMar>
          </w:tcPr>
          <w:p w:rsidR="00C166DE" w:rsidRPr="00C166DE" w:rsidRDefault="00C166DE" w:rsidP="00C166DE">
            <w:pPr>
              <w:rPr>
                <w:b/>
                <w:bCs/>
              </w:rPr>
            </w:pPr>
          </w:p>
        </w:tc>
        <w:tc>
          <w:tcPr>
            <w:tcW w:w="4278" w:type="pct"/>
            <w:gridSpan w:val="2"/>
            <w:tcMar>
              <w:top w:w="15" w:type="dxa"/>
              <w:left w:w="15" w:type="dxa"/>
              <w:bottom w:w="15" w:type="dxa"/>
              <w:right w:w="15" w:type="dxa"/>
            </w:tcMar>
            <w:vAlign w:val="center"/>
          </w:tcPr>
          <w:p w:rsidR="00C166DE" w:rsidRPr="00C166DE" w:rsidRDefault="00C166DE" w:rsidP="00C166DE"/>
        </w:tc>
      </w:tr>
      <w:tr w:rsidR="00C166DE" w:rsidRPr="00C166DE" w:rsidTr="00C166DE">
        <w:trPr>
          <w:tblCellSpacing w:w="22" w:type="dxa"/>
        </w:trPr>
        <w:tc>
          <w:tcPr>
            <w:tcW w:w="674" w:type="pct"/>
            <w:tcMar>
              <w:top w:w="15" w:type="dxa"/>
              <w:left w:w="15" w:type="dxa"/>
              <w:bottom w:w="15" w:type="dxa"/>
              <w:right w:w="15" w:type="dxa"/>
            </w:tcMar>
            <w:hideMark/>
          </w:tcPr>
          <w:p w:rsidR="00C166DE" w:rsidRPr="00C166DE" w:rsidRDefault="00C166DE" w:rsidP="00C166DE">
            <w:r w:rsidRPr="00C166DE">
              <w:rPr>
                <w:b/>
                <w:bCs/>
              </w:rPr>
              <w:t>When:</w:t>
            </w:r>
          </w:p>
        </w:tc>
        <w:tc>
          <w:tcPr>
            <w:tcW w:w="4278" w:type="pct"/>
            <w:gridSpan w:val="2"/>
            <w:tcMar>
              <w:top w:w="15" w:type="dxa"/>
              <w:left w:w="15" w:type="dxa"/>
              <w:bottom w:w="15" w:type="dxa"/>
              <w:right w:w="15" w:type="dxa"/>
            </w:tcMar>
            <w:vAlign w:val="center"/>
          </w:tcPr>
          <w:p w:rsidR="00C166DE" w:rsidRPr="00C166DE" w:rsidRDefault="00C166DE" w:rsidP="00C166DE">
            <w:pPr>
              <w:rPr>
                <w:b/>
                <w:bCs/>
                <w:u w:val="single"/>
              </w:rPr>
            </w:pPr>
            <w:r w:rsidRPr="00C166DE">
              <w:rPr>
                <w:b/>
                <w:bCs/>
                <w:u w:val="single"/>
              </w:rPr>
              <w:t>Friday, May 11, 2018, at 2 p.m.</w:t>
            </w:r>
          </w:p>
          <w:p w:rsidR="00C166DE" w:rsidRPr="00C166DE" w:rsidRDefault="00C166DE" w:rsidP="00C166DE"/>
        </w:tc>
      </w:tr>
      <w:tr w:rsidR="00C166DE" w:rsidRPr="00C166DE" w:rsidTr="00C166DE">
        <w:trPr>
          <w:tblCellSpacing w:w="22" w:type="dxa"/>
        </w:trPr>
        <w:tc>
          <w:tcPr>
            <w:tcW w:w="674" w:type="pct"/>
            <w:tcMar>
              <w:top w:w="15" w:type="dxa"/>
              <w:left w:w="15" w:type="dxa"/>
              <w:bottom w:w="15" w:type="dxa"/>
              <w:right w:w="15" w:type="dxa"/>
            </w:tcMar>
            <w:hideMark/>
          </w:tcPr>
          <w:p w:rsidR="00C166DE" w:rsidRPr="00C166DE" w:rsidRDefault="00C166DE" w:rsidP="00C166DE">
            <w:pPr>
              <w:rPr>
                <w:b/>
                <w:bCs/>
              </w:rPr>
            </w:pPr>
            <w:r w:rsidRPr="00C166DE">
              <w:rPr>
                <w:b/>
                <w:bCs/>
              </w:rPr>
              <w:t>Where:</w:t>
            </w:r>
          </w:p>
        </w:tc>
        <w:tc>
          <w:tcPr>
            <w:tcW w:w="4278" w:type="pct"/>
            <w:gridSpan w:val="2"/>
            <w:tcMar>
              <w:top w:w="15" w:type="dxa"/>
              <w:left w:w="15" w:type="dxa"/>
              <w:bottom w:w="15" w:type="dxa"/>
              <w:right w:w="15" w:type="dxa"/>
            </w:tcMar>
            <w:vAlign w:val="center"/>
            <w:hideMark/>
          </w:tcPr>
          <w:p w:rsidR="00C166DE" w:rsidRPr="00C166DE" w:rsidRDefault="00C166DE" w:rsidP="00C166DE">
            <w:proofErr w:type="spellStart"/>
            <w:r w:rsidRPr="00C166DE">
              <w:t>Mading</w:t>
            </w:r>
            <w:proofErr w:type="spellEnd"/>
            <w:r w:rsidRPr="00C166DE">
              <w:t xml:space="preserve"> Elementary School </w:t>
            </w:r>
            <w:r w:rsidRPr="00C166DE">
              <w:br/>
              <w:t>8511 Crestmont, Houston, 77033</w:t>
            </w:r>
          </w:p>
        </w:tc>
      </w:tr>
      <w:tr w:rsidR="00C166DE" w:rsidRPr="00C166DE" w:rsidTr="00C166DE">
        <w:trPr>
          <w:tblCellSpacing w:w="22" w:type="dxa"/>
        </w:trPr>
        <w:tc>
          <w:tcPr>
            <w:tcW w:w="674" w:type="pct"/>
            <w:tcMar>
              <w:top w:w="15" w:type="dxa"/>
              <w:left w:w="15" w:type="dxa"/>
              <w:bottom w:w="15" w:type="dxa"/>
              <w:right w:w="15" w:type="dxa"/>
            </w:tcMar>
          </w:tcPr>
          <w:p w:rsidR="00C166DE" w:rsidRPr="00C166DE" w:rsidRDefault="00C166DE" w:rsidP="00C166DE">
            <w:pPr>
              <w:rPr>
                <w:b/>
                <w:bCs/>
              </w:rPr>
            </w:pPr>
          </w:p>
        </w:tc>
        <w:tc>
          <w:tcPr>
            <w:tcW w:w="4278" w:type="pct"/>
            <w:gridSpan w:val="2"/>
            <w:tcMar>
              <w:top w:w="15" w:type="dxa"/>
              <w:left w:w="15" w:type="dxa"/>
              <w:bottom w:w="15" w:type="dxa"/>
              <w:right w:w="15" w:type="dxa"/>
            </w:tcMar>
            <w:vAlign w:val="center"/>
          </w:tcPr>
          <w:p w:rsidR="00C166DE" w:rsidRPr="00C166DE" w:rsidRDefault="00C166DE" w:rsidP="00C166DE">
            <w:pPr>
              <w:rPr>
                <w:u w:val="single"/>
              </w:rPr>
            </w:pPr>
          </w:p>
        </w:tc>
      </w:tr>
    </w:tbl>
    <w:p w:rsidR="00C166DE" w:rsidRDefault="00C166DE"/>
    <w:sectPr w:rsidR="00C16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DE"/>
    <w:rsid w:val="004F31B2"/>
    <w:rsid w:val="00C1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FBDB"/>
  <w15:chartTrackingRefBased/>
  <w15:docId w15:val="{646E441F-D43F-48CE-BA28-BEB7F020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6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D3167D.07F9A28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2018-06-12T20:15:00Z</dcterms:created>
  <dcterms:modified xsi:type="dcterms:W3CDTF">2018-06-12T20:16:00Z</dcterms:modified>
</cp:coreProperties>
</file>