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2A" w:rsidRDefault="00382A2A" w:rsidP="00382A2A">
      <w:r>
        <w:rPr>
          <w:noProof/>
        </w:rPr>
        <w:drawing>
          <wp:inline distT="0" distB="0" distL="0" distR="0">
            <wp:extent cx="5924550" cy="1181100"/>
            <wp:effectExtent l="0" t="0" r="0" b="0"/>
            <wp:docPr id="2" name="Picture 2" descr="MediaHeader_0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Header_09"/>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24550" cy="1181100"/>
                    </a:xfrm>
                    <a:prstGeom prst="rect">
                      <a:avLst/>
                    </a:prstGeom>
                    <a:noFill/>
                    <a:ln>
                      <a:noFill/>
                    </a:ln>
                  </pic:spPr>
                </pic:pic>
              </a:graphicData>
            </a:graphic>
          </wp:inline>
        </w:drawing>
      </w:r>
    </w:p>
    <w:p w:rsidR="00382A2A" w:rsidRDefault="00382A2A" w:rsidP="00382A2A">
      <w:pPr>
        <w:jc w:val="center"/>
        <w:rPr>
          <w:b/>
          <w:bCs/>
          <w:sz w:val="30"/>
          <w:szCs w:val="30"/>
        </w:rPr>
      </w:pPr>
    </w:p>
    <w:p w:rsidR="00382A2A" w:rsidRDefault="002E035F" w:rsidP="00382A2A">
      <w:pPr>
        <w:jc w:val="center"/>
        <w:rPr>
          <w:i/>
          <w:iCs/>
          <w:sz w:val="28"/>
          <w:szCs w:val="28"/>
        </w:rPr>
      </w:pPr>
      <w:r w:rsidRPr="00C91398">
        <w:rPr>
          <w:b/>
          <w:bCs/>
          <w:sz w:val="48"/>
          <w:szCs w:val="50"/>
        </w:rPr>
        <w:t xml:space="preserve">Board of Education Approves </w:t>
      </w:r>
      <w:r w:rsidR="00382A2A" w:rsidRPr="00C91398">
        <w:rPr>
          <w:b/>
          <w:bCs/>
          <w:sz w:val="48"/>
          <w:szCs w:val="50"/>
        </w:rPr>
        <w:t xml:space="preserve">7 More </w:t>
      </w:r>
      <w:r w:rsidR="00C91398" w:rsidRPr="00C91398">
        <w:rPr>
          <w:b/>
          <w:bCs/>
          <w:sz w:val="48"/>
          <w:szCs w:val="50"/>
        </w:rPr>
        <w:t xml:space="preserve">CMAR </w:t>
      </w:r>
      <w:r w:rsidR="00382A2A" w:rsidRPr="00C91398">
        <w:rPr>
          <w:b/>
          <w:bCs/>
          <w:sz w:val="48"/>
          <w:szCs w:val="50"/>
        </w:rPr>
        <w:t>Contracts under 2012 Bond Program</w:t>
      </w:r>
      <w:r w:rsidR="00382A2A" w:rsidRPr="00C91398">
        <w:rPr>
          <w:b/>
          <w:bCs/>
          <w:sz w:val="44"/>
          <w:szCs w:val="52"/>
        </w:rPr>
        <w:t xml:space="preserve"> </w:t>
      </w:r>
      <w:r w:rsidR="002E6BA6">
        <w:rPr>
          <w:b/>
          <w:bCs/>
          <w:sz w:val="44"/>
          <w:szCs w:val="52"/>
        </w:rPr>
        <w:br/>
      </w:r>
      <w:r w:rsidR="00382A2A" w:rsidRPr="002E6BA6">
        <w:rPr>
          <w:b/>
          <w:bCs/>
          <w:sz w:val="8"/>
          <w:szCs w:val="8"/>
        </w:rPr>
        <w:br/>
      </w:r>
      <w:r w:rsidR="00382A2A">
        <w:rPr>
          <w:i/>
          <w:iCs/>
          <w:sz w:val="28"/>
          <w:szCs w:val="28"/>
        </w:rPr>
        <w:t>Administrators</w:t>
      </w:r>
      <w:r w:rsidR="00C91398">
        <w:rPr>
          <w:i/>
          <w:iCs/>
          <w:sz w:val="28"/>
          <w:szCs w:val="28"/>
        </w:rPr>
        <w:t xml:space="preserve"> also</w:t>
      </w:r>
      <w:r w:rsidR="00382A2A">
        <w:rPr>
          <w:i/>
          <w:iCs/>
          <w:sz w:val="28"/>
          <w:szCs w:val="28"/>
        </w:rPr>
        <w:t xml:space="preserve"> recommend </w:t>
      </w:r>
      <w:r w:rsidR="00C91398">
        <w:rPr>
          <w:i/>
          <w:iCs/>
          <w:sz w:val="28"/>
          <w:szCs w:val="28"/>
        </w:rPr>
        <w:t xml:space="preserve">CMAR </w:t>
      </w:r>
      <w:r w:rsidR="00382A2A">
        <w:rPr>
          <w:i/>
          <w:iCs/>
          <w:sz w:val="28"/>
          <w:szCs w:val="28"/>
        </w:rPr>
        <w:t xml:space="preserve">firms </w:t>
      </w:r>
      <w:r w:rsidR="00C91398">
        <w:rPr>
          <w:i/>
          <w:iCs/>
          <w:sz w:val="28"/>
          <w:szCs w:val="28"/>
        </w:rPr>
        <w:t>North Forest area athletic facility</w:t>
      </w:r>
    </w:p>
    <w:p w:rsidR="00382A2A" w:rsidRDefault="00382A2A" w:rsidP="00382A2A">
      <w:pPr>
        <w:rPr>
          <w:i/>
          <w:iCs/>
          <w:sz w:val="18"/>
          <w:szCs w:val="18"/>
        </w:rPr>
      </w:pPr>
      <w:r>
        <w:rPr>
          <w:i/>
          <w:iCs/>
          <w:sz w:val="22"/>
          <w:szCs w:val="22"/>
        </w:rPr>
        <w:t xml:space="preserve">                     </w:t>
      </w:r>
    </w:p>
    <w:p w:rsidR="00382A2A" w:rsidRDefault="00382A2A" w:rsidP="00382A2A">
      <w:pPr>
        <w:rPr>
          <w:sz w:val="22"/>
          <w:szCs w:val="22"/>
        </w:rPr>
      </w:pPr>
      <w:r>
        <w:rPr>
          <w:i/>
          <w:iCs/>
          <w:sz w:val="22"/>
          <w:szCs w:val="22"/>
        </w:rPr>
        <w:t>Dec. 12, 2013</w:t>
      </w:r>
      <w:r>
        <w:rPr>
          <w:sz w:val="22"/>
          <w:szCs w:val="22"/>
        </w:rPr>
        <w:t xml:space="preserve"> </w:t>
      </w:r>
      <w:r w:rsidR="00DE1441">
        <w:rPr>
          <w:sz w:val="22"/>
          <w:szCs w:val="22"/>
        </w:rPr>
        <w:t>—</w:t>
      </w:r>
      <w:r>
        <w:rPr>
          <w:sz w:val="22"/>
          <w:szCs w:val="22"/>
        </w:rPr>
        <w:t xml:space="preserve"> </w:t>
      </w:r>
      <w:r w:rsidR="00DE1441">
        <w:rPr>
          <w:sz w:val="22"/>
          <w:szCs w:val="22"/>
        </w:rPr>
        <w:t xml:space="preserve">The Houston Independent School District Board of </w:t>
      </w:r>
      <w:r>
        <w:rPr>
          <w:sz w:val="22"/>
          <w:szCs w:val="22"/>
        </w:rPr>
        <w:t xml:space="preserve">Education </w:t>
      </w:r>
      <w:r w:rsidR="00DE1441">
        <w:rPr>
          <w:sz w:val="22"/>
          <w:szCs w:val="22"/>
        </w:rPr>
        <w:t xml:space="preserve">on Thursday </w:t>
      </w:r>
      <w:bookmarkStart w:id="0" w:name="_GoBack"/>
      <w:bookmarkEnd w:id="0"/>
      <w:r w:rsidR="00DE1441" w:rsidRPr="00C03F1E">
        <w:rPr>
          <w:sz w:val="22"/>
          <w:szCs w:val="22"/>
        </w:rPr>
        <w:t xml:space="preserve">agreed to </w:t>
      </w:r>
      <w:r w:rsidRPr="00C03F1E">
        <w:rPr>
          <w:sz w:val="22"/>
          <w:szCs w:val="22"/>
        </w:rPr>
        <w:t>authorize</w:t>
      </w:r>
      <w:r>
        <w:rPr>
          <w:sz w:val="22"/>
          <w:szCs w:val="22"/>
        </w:rPr>
        <w:t xml:space="preserve"> the district to negotiate contracts with five firms to provide construction manager at risk (CMAR) services on selected 2012 bond projects.</w:t>
      </w:r>
    </w:p>
    <w:p w:rsidR="00382A2A" w:rsidRDefault="00382A2A" w:rsidP="00382A2A">
      <w:pPr>
        <w:rPr>
          <w:sz w:val="22"/>
          <w:szCs w:val="22"/>
        </w:rPr>
      </w:pPr>
      <w:r>
        <w:rPr>
          <w:sz w:val="22"/>
          <w:szCs w:val="22"/>
        </w:rPr>
        <w:t>            The firms and the projects are:</w:t>
      </w:r>
    </w:p>
    <w:p w:rsidR="00382A2A" w:rsidRDefault="00382A2A" w:rsidP="00382A2A">
      <w:pPr>
        <w:numPr>
          <w:ilvl w:val="0"/>
          <w:numId w:val="1"/>
        </w:numPr>
        <w:rPr>
          <w:sz w:val="22"/>
          <w:szCs w:val="22"/>
        </w:rPr>
      </w:pPr>
      <w:r>
        <w:rPr>
          <w:sz w:val="22"/>
          <w:szCs w:val="22"/>
        </w:rPr>
        <w:t>Bellaire High School: Turner Construction Company</w:t>
      </w:r>
    </w:p>
    <w:p w:rsidR="00382A2A" w:rsidRDefault="00382A2A" w:rsidP="00382A2A">
      <w:pPr>
        <w:numPr>
          <w:ilvl w:val="0"/>
          <w:numId w:val="1"/>
        </w:numPr>
        <w:rPr>
          <w:sz w:val="22"/>
          <w:szCs w:val="22"/>
        </w:rPr>
      </w:pPr>
      <w:r>
        <w:rPr>
          <w:sz w:val="22"/>
          <w:szCs w:val="22"/>
        </w:rPr>
        <w:t>Davis High School: H.J. Russell &amp; Company</w:t>
      </w:r>
    </w:p>
    <w:p w:rsidR="00382A2A" w:rsidRDefault="00382A2A" w:rsidP="00382A2A">
      <w:pPr>
        <w:numPr>
          <w:ilvl w:val="0"/>
          <w:numId w:val="1"/>
        </w:numPr>
        <w:rPr>
          <w:sz w:val="22"/>
          <w:szCs w:val="22"/>
        </w:rPr>
      </w:pPr>
      <w:r>
        <w:rPr>
          <w:sz w:val="22"/>
          <w:szCs w:val="22"/>
        </w:rPr>
        <w:t>Dowling Middle School: Turner Construction Company</w:t>
      </w:r>
    </w:p>
    <w:p w:rsidR="00382A2A" w:rsidRDefault="00382A2A" w:rsidP="00382A2A">
      <w:pPr>
        <w:numPr>
          <w:ilvl w:val="0"/>
          <w:numId w:val="1"/>
        </w:numPr>
        <w:rPr>
          <w:sz w:val="22"/>
          <w:szCs w:val="22"/>
        </w:rPr>
      </w:pPr>
      <w:r>
        <w:rPr>
          <w:sz w:val="22"/>
          <w:szCs w:val="22"/>
        </w:rPr>
        <w:t xml:space="preserve">Eastwood Academy: </w:t>
      </w:r>
      <w:proofErr w:type="spellStart"/>
      <w:r>
        <w:rPr>
          <w:sz w:val="22"/>
          <w:szCs w:val="22"/>
        </w:rPr>
        <w:t>Comex</w:t>
      </w:r>
      <w:proofErr w:type="spellEnd"/>
      <w:r>
        <w:rPr>
          <w:sz w:val="22"/>
          <w:szCs w:val="22"/>
        </w:rPr>
        <w:t xml:space="preserve"> Corporation</w:t>
      </w:r>
    </w:p>
    <w:p w:rsidR="00382A2A" w:rsidRDefault="00382A2A" w:rsidP="00382A2A">
      <w:pPr>
        <w:numPr>
          <w:ilvl w:val="0"/>
          <w:numId w:val="1"/>
        </w:numPr>
        <w:rPr>
          <w:sz w:val="22"/>
          <w:szCs w:val="22"/>
        </w:rPr>
      </w:pPr>
      <w:r>
        <w:rPr>
          <w:sz w:val="22"/>
          <w:szCs w:val="22"/>
        </w:rPr>
        <w:t xml:space="preserve">Lamar High School: </w:t>
      </w:r>
      <w:proofErr w:type="spellStart"/>
      <w:r>
        <w:rPr>
          <w:sz w:val="22"/>
          <w:szCs w:val="22"/>
        </w:rPr>
        <w:t>Gilbane</w:t>
      </w:r>
      <w:proofErr w:type="spellEnd"/>
      <w:r>
        <w:rPr>
          <w:sz w:val="22"/>
          <w:szCs w:val="22"/>
        </w:rPr>
        <w:t xml:space="preserve"> Building Company</w:t>
      </w:r>
    </w:p>
    <w:p w:rsidR="00382A2A" w:rsidRDefault="00382A2A" w:rsidP="00382A2A">
      <w:pPr>
        <w:numPr>
          <w:ilvl w:val="0"/>
          <w:numId w:val="1"/>
        </w:numPr>
        <w:rPr>
          <w:sz w:val="22"/>
          <w:szCs w:val="22"/>
        </w:rPr>
      </w:pPr>
      <w:r>
        <w:rPr>
          <w:sz w:val="22"/>
          <w:szCs w:val="22"/>
        </w:rPr>
        <w:t>Parker Elementary School: Brae Burn Construction Company, L.T.D., L.L.P.</w:t>
      </w:r>
    </w:p>
    <w:p w:rsidR="00382A2A" w:rsidRDefault="00382A2A" w:rsidP="00382A2A">
      <w:pPr>
        <w:numPr>
          <w:ilvl w:val="0"/>
          <w:numId w:val="1"/>
        </w:numPr>
        <w:rPr>
          <w:sz w:val="22"/>
          <w:szCs w:val="22"/>
        </w:rPr>
      </w:pPr>
      <w:r>
        <w:rPr>
          <w:sz w:val="22"/>
          <w:szCs w:val="22"/>
        </w:rPr>
        <w:t>Yates High School: Turner Construction Company</w:t>
      </w:r>
    </w:p>
    <w:p w:rsidR="00382A2A" w:rsidRDefault="00382A2A" w:rsidP="00382A2A">
      <w:pPr>
        <w:ind w:firstLine="720"/>
        <w:rPr>
          <w:sz w:val="22"/>
          <w:szCs w:val="22"/>
        </w:rPr>
      </w:pPr>
      <w:r>
        <w:rPr>
          <w:sz w:val="22"/>
          <w:szCs w:val="22"/>
        </w:rPr>
        <w:t>Utilizing the CMAR contracting method helps HISD ensure a quality project by increasing coordination with the design team and establishing a guaranteed maximum price for construction, minimizing the potential for problems such as cost overruns. CMAR also allows greater potential for subcontracting specialized work, increasing the number of potential business opportunities with the district. Many of the 2012 bond program projects will be assigned CMARs due to the nature and complexity of the projects.</w:t>
      </w:r>
    </w:p>
    <w:p w:rsidR="00382A2A" w:rsidRDefault="00382A2A" w:rsidP="00382A2A">
      <w:pPr>
        <w:ind w:firstLine="720"/>
        <w:rPr>
          <w:sz w:val="22"/>
          <w:szCs w:val="22"/>
        </w:rPr>
      </w:pPr>
      <w:r>
        <w:rPr>
          <w:sz w:val="22"/>
          <w:szCs w:val="22"/>
        </w:rPr>
        <w:t xml:space="preserve">The selected firms were chosen from a pool of 33 contractors based upon several selection criteria, including qualifications, relevant experience, safety record, minority and women-owned business enterprises (M/WBE) plan, construction methodology and phasing strategy, and financial stability. Qualified firms were then invited to submit cost proposals for construction services.  </w:t>
      </w:r>
    </w:p>
    <w:p w:rsidR="00C91398" w:rsidRDefault="00382A2A" w:rsidP="00382A2A">
      <w:pPr>
        <w:pStyle w:val="Default"/>
        <w:ind w:firstLine="720"/>
        <w:rPr>
          <w:sz w:val="22"/>
          <w:szCs w:val="22"/>
        </w:rPr>
      </w:pPr>
      <w:r>
        <w:rPr>
          <w:sz w:val="22"/>
          <w:szCs w:val="22"/>
        </w:rPr>
        <w:t xml:space="preserve">Two of the firms, H.J. Russell &amp; Company and </w:t>
      </w:r>
      <w:proofErr w:type="spellStart"/>
      <w:r>
        <w:rPr>
          <w:sz w:val="22"/>
          <w:szCs w:val="22"/>
        </w:rPr>
        <w:t>Comex</w:t>
      </w:r>
      <w:proofErr w:type="spellEnd"/>
      <w:r>
        <w:rPr>
          <w:sz w:val="22"/>
          <w:szCs w:val="22"/>
        </w:rPr>
        <w:t xml:space="preserve"> Corporation, are certified M/WBEs, which </w:t>
      </w:r>
      <w:proofErr w:type="gramStart"/>
      <w:r>
        <w:rPr>
          <w:sz w:val="22"/>
          <w:szCs w:val="22"/>
        </w:rPr>
        <w:t>means</w:t>
      </w:r>
      <w:proofErr w:type="gramEnd"/>
      <w:r>
        <w:rPr>
          <w:sz w:val="22"/>
          <w:szCs w:val="22"/>
        </w:rPr>
        <w:t xml:space="preserve"> they are at least 51 percent owned by one of the following groups: African American, Hispanic American, Asian American, Native American or women. The other three companies have committed to contracting 20 percent to 30 percent of their work to M/WBE contractors.</w:t>
      </w:r>
    </w:p>
    <w:p w:rsidR="00C91398" w:rsidRPr="00C91398" w:rsidRDefault="00C91398" w:rsidP="00C91398">
      <w:pPr>
        <w:ind w:firstLine="720"/>
        <w:rPr>
          <w:sz w:val="22"/>
          <w:szCs w:val="22"/>
        </w:rPr>
      </w:pPr>
      <w:r w:rsidRPr="00C91398">
        <w:rPr>
          <w:sz w:val="22"/>
          <w:szCs w:val="22"/>
        </w:rPr>
        <w:t xml:space="preserve">In other business, </w:t>
      </w:r>
      <w:r w:rsidRPr="00C03F1E">
        <w:rPr>
          <w:sz w:val="22"/>
          <w:szCs w:val="22"/>
        </w:rPr>
        <w:t>the board agreed to negotiate a contract</w:t>
      </w:r>
      <w:r w:rsidRPr="00C91398">
        <w:rPr>
          <w:sz w:val="22"/>
          <w:szCs w:val="22"/>
        </w:rPr>
        <w:t xml:space="preserve"> with Pepper-Lawson Construction, L.P., for athletic improvements at Mark Anthony Wilkins Pavilion in the North Forest area. The district will </w:t>
      </w:r>
      <w:r>
        <w:rPr>
          <w:sz w:val="22"/>
          <w:szCs w:val="22"/>
        </w:rPr>
        <w:t>fund</w:t>
      </w:r>
      <w:r w:rsidRPr="00C91398">
        <w:rPr>
          <w:sz w:val="22"/>
          <w:szCs w:val="22"/>
        </w:rPr>
        <w:t xml:space="preserve"> this project </w:t>
      </w:r>
      <w:r>
        <w:rPr>
          <w:sz w:val="22"/>
          <w:szCs w:val="22"/>
        </w:rPr>
        <w:t>with</w:t>
      </w:r>
      <w:r w:rsidRPr="00C91398">
        <w:rPr>
          <w:sz w:val="22"/>
          <w:szCs w:val="22"/>
        </w:rPr>
        <w:t xml:space="preserve"> state mon</w:t>
      </w:r>
      <w:r>
        <w:rPr>
          <w:sz w:val="22"/>
          <w:szCs w:val="22"/>
        </w:rPr>
        <w:t>ey</w:t>
      </w:r>
      <w:r w:rsidRPr="00C91398">
        <w:rPr>
          <w:sz w:val="22"/>
          <w:szCs w:val="22"/>
        </w:rPr>
        <w:t>.</w:t>
      </w:r>
    </w:p>
    <w:p w:rsidR="00382A2A" w:rsidRPr="00DE1441" w:rsidRDefault="00382A2A" w:rsidP="00382A2A">
      <w:pPr>
        <w:pStyle w:val="Default"/>
        <w:ind w:firstLine="720"/>
        <w:rPr>
          <w:sz w:val="22"/>
          <w:szCs w:val="22"/>
        </w:rPr>
      </w:pPr>
      <w:r w:rsidRPr="0043597E">
        <w:rPr>
          <w:bCs/>
          <w:sz w:val="22"/>
          <w:szCs w:val="22"/>
        </w:rPr>
        <w:t xml:space="preserve">The board’s regular monthly meeting </w:t>
      </w:r>
      <w:r w:rsidR="00DE1441" w:rsidRPr="0043597E">
        <w:rPr>
          <w:bCs/>
          <w:sz w:val="22"/>
          <w:szCs w:val="22"/>
        </w:rPr>
        <w:t>was held</w:t>
      </w:r>
      <w:r w:rsidRPr="0043597E">
        <w:rPr>
          <w:bCs/>
          <w:sz w:val="22"/>
          <w:szCs w:val="22"/>
        </w:rPr>
        <w:t xml:space="preserve"> at 5 p.m. on Thursday, December 12, 2013, in the board auditorium of the Hattie Mae White Educational Support Center (4400 W. 18th Street). Click</w:t>
      </w:r>
      <w:r w:rsidRPr="00DE1441">
        <w:rPr>
          <w:bCs/>
          <w:sz w:val="22"/>
          <w:szCs w:val="22"/>
        </w:rPr>
        <w:t xml:space="preserve"> </w:t>
      </w:r>
      <w:hyperlink r:id="rId9" w:history="1">
        <w:r w:rsidRPr="00DE1441">
          <w:rPr>
            <w:rStyle w:val="Hyperlink"/>
            <w:bCs/>
            <w:sz w:val="22"/>
            <w:szCs w:val="22"/>
          </w:rPr>
          <w:t>here</w:t>
        </w:r>
      </w:hyperlink>
      <w:r w:rsidRPr="00DE1441">
        <w:rPr>
          <w:bCs/>
          <w:color w:val="0000FF"/>
          <w:sz w:val="22"/>
          <w:szCs w:val="22"/>
        </w:rPr>
        <w:t xml:space="preserve"> </w:t>
      </w:r>
      <w:r w:rsidRPr="00DE1441">
        <w:rPr>
          <w:bCs/>
          <w:sz w:val="22"/>
          <w:szCs w:val="22"/>
        </w:rPr>
        <w:t>to view the full agenda.</w:t>
      </w:r>
    </w:p>
    <w:p w:rsidR="00382A2A" w:rsidRDefault="00382A2A" w:rsidP="00382A2A">
      <w:pPr>
        <w:rPr>
          <w:sz w:val="10"/>
          <w:szCs w:val="10"/>
        </w:rPr>
      </w:pPr>
      <w:r>
        <w:rPr>
          <w:b/>
          <w:bCs/>
          <w:sz w:val="30"/>
          <w:szCs w:val="30"/>
          <w:u w:val="single"/>
        </w:rPr>
        <w:t xml:space="preserve">                                                                                                                             </w:t>
      </w:r>
    </w:p>
    <w:p w:rsidR="00382A2A" w:rsidRDefault="00382A2A" w:rsidP="00382A2A">
      <w:pPr>
        <w:rPr>
          <w:rFonts w:ascii="Arial" w:hAnsi="Arial" w:cs="Arial"/>
          <w:sz w:val="22"/>
          <w:szCs w:val="22"/>
        </w:rPr>
      </w:pPr>
      <w:r>
        <w:rPr>
          <w:rFonts w:ascii="Arial" w:hAnsi="Arial" w:cs="Arial"/>
          <w:sz w:val="22"/>
          <w:szCs w:val="22"/>
        </w:rPr>
        <w:t xml:space="preserve">                      </w:t>
      </w:r>
    </w:p>
    <w:p w:rsidR="00382A2A" w:rsidRDefault="00382A2A" w:rsidP="00382A2A">
      <w:pPr>
        <w:rPr>
          <w:rFonts w:ascii="Arial" w:hAnsi="Arial" w:cs="Arial"/>
          <w:sz w:val="18"/>
          <w:szCs w:val="18"/>
        </w:rPr>
      </w:pPr>
      <w:r>
        <w:rPr>
          <w:rFonts w:ascii="Arial" w:hAnsi="Arial" w:cs="Arial"/>
          <w:sz w:val="18"/>
          <w:szCs w:val="18"/>
        </w:rPr>
        <w:lastRenderedPageBreak/>
        <w:t xml:space="preserve">The </w:t>
      </w:r>
      <w:r>
        <w:rPr>
          <w:rFonts w:ascii="Arial" w:hAnsi="Arial" w:cs="Arial"/>
          <w:b/>
          <w:bCs/>
          <w:sz w:val="18"/>
          <w:szCs w:val="18"/>
        </w:rPr>
        <w:t>Houston Independent School District</w:t>
      </w:r>
      <w:r>
        <w:rPr>
          <w:rFonts w:ascii="Arial" w:hAnsi="Arial" w:cs="Arial"/>
          <w:sz w:val="18"/>
          <w:szCs w:val="18"/>
        </w:rPr>
        <w:t xml:space="preserve"> is the largest school district in Texas and the seventh-largest in the United States with 282 schools and nearly 210,000 students. The 334-square-mile district is one of the largest employers in the Houston metropolitan area with more than 25,000 employees. </w:t>
      </w:r>
    </w:p>
    <w:p w:rsidR="00382A2A" w:rsidRDefault="00382A2A" w:rsidP="00382A2A">
      <w:pPr>
        <w:jc w:val="center"/>
        <w:rPr>
          <w:rFonts w:ascii="Arial" w:hAnsi="Arial" w:cs="Arial"/>
          <w:b/>
          <w:bCs/>
          <w:sz w:val="18"/>
          <w:szCs w:val="18"/>
        </w:rPr>
      </w:pPr>
      <w:r>
        <w:rPr>
          <w:rFonts w:ascii="Arial" w:hAnsi="Arial" w:cs="Arial"/>
          <w:b/>
          <w:bCs/>
          <w:sz w:val="18"/>
          <w:szCs w:val="18"/>
        </w:rPr>
        <w:t xml:space="preserve">For more information, visit the HISD Web site at </w:t>
      </w:r>
      <w:hyperlink r:id="rId10" w:history="1">
        <w:r>
          <w:rPr>
            <w:rStyle w:val="Hyperlink"/>
            <w:rFonts w:ascii="Arial" w:hAnsi="Arial" w:cs="Arial"/>
            <w:b/>
            <w:bCs/>
            <w:color w:val="800080"/>
            <w:sz w:val="18"/>
            <w:szCs w:val="18"/>
          </w:rPr>
          <w:t>www.houstonisd.org</w:t>
        </w:r>
      </w:hyperlink>
      <w:r>
        <w:rPr>
          <w:rFonts w:ascii="Arial" w:hAnsi="Arial" w:cs="Arial"/>
          <w:b/>
          <w:bCs/>
          <w:sz w:val="18"/>
          <w:szCs w:val="18"/>
        </w:rPr>
        <w:t>.</w:t>
      </w:r>
    </w:p>
    <w:p w:rsidR="00382A2A" w:rsidRDefault="00382A2A" w:rsidP="00382A2A">
      <w:pPr>
        <w:rPr>
          <w:sz w:val="10"/>
          <w:szCs w:val="10"/>
        </w:rPr>
      </w:pPr>
      <w:r>
        <w:rPr>
          <w:b/>
          <w:bCs/>
          <w:sz w:val="30"/>
          <w:szCs w:val="30"/>
          <w:u w:val="single"/>
        </w:rPr>
        <w:t xml:space="preserve">                                                                                                                             </w:t>
      </w:r>
    </w:p>
    <w:p w:rsidR="00382A2A" w:rsidRDefault="00382A2A" w:rsidP="00382A2A">
      <w:pPr>
        <w:ind w:left="360"/>
        <w:jc w:val="center"/>
      </w:pPr>
      <w:r>
        <w:rPr>
          <w:noProof/>
        </w:rPr>
        <w:drawing>
          <wp:inline distT="0" distB="0" distL="0" distR="0">
            <wp:extent cx="1428750" cy="504825"/>
            <wp:effectExtent l="0" t="0" r="0" b="9525"/>
            <wp:docPr id="1" name="Picture 1" descr="tweetbutt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eetbutto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rsidR="00382A2A" w:rsidRDefault="0028113C" w:rsidP="00382A2A">
      <w:pPr>
        <w:jc w:val="center"/>
        <w:rPr>
          <w:sz w:val="10"/>
          <w:szCs w:val="10"/>
        </w:rPr>
      </w:pPr>
      <w:hyperlink r:id="rId14" w:history="1">
        <w:r w:rsidR="00382A2A">
          <w:rPr>
            <w:rStyle w:val="Hyperlink"/>
          </w:rPr>
          <w:t>Click here to Tweet this</w:t>
        </w:r>
      </w:hyperlink>
    </w:p>
    <w:p w:rsidR="00382A2A" w:rsidRDefault="00382A2A" w:rsidP="00382A2A">
      <w:pPr>
        <w:rPr>
          <w:rFonts w:ascii="Calibri" w:hAnsi="Calibri"/>
          <w:sz w:val="22"/>
          <w:szCs w:val="22"/>
        </w:rPr>
      </w:pPr>
    </w:p>
    <w:p w:rsidR="008029C3" w:rsidRDefault="008029C3"/>
    <w:sectPr w:rsidR="00802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42FF7"/>
    <w:multiLevelType w:val="hybridMultilevel"/>
    <w:tmpl w:val="8AC424B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2A"/>
    <w:rsid w:val="0028113C"/>
    <w:rsid w:val="002E035F"/>
    <w:rsid w:val="002E6BA6"/>
    <w:rsid w:val="00382A2A"/>
    <w:rsid w:val="0043597E"/>
    <w:rsid w:val="006F229B"/>
    <w:rsid w:val="00754D57"/>
    <w:rsid w:val="008029C3"/>
    <w:rsid w:val="00C03F1E"/>
    <w:rsid w:val="00C91398"/>
    <w:rsid w:val="00DE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A2A"/>
    <w:rPr>
      <w:color w:val="0000FF"/>
      <w:u w:val="single"/>
    </w:rPr>
  </w:style>
  <w:style w:type="paragraph" w:customStyle="1" w:styleId="Default">
    <w:name w:val="Default"/>
    <w:basedOn w:val="Normal"/>
    <w:rsid w:val="00382A2A"/>
    <w:pPr>
      <w:autoSpaceDE w:val="0"/>
      <w:autoSpaceDN w:val="0"/>
    </w:pPr>
    <w:rPr>
      <w:color w:val="000000"/>
    </w:rPr>
  </w:style>
  <w:style w:type="paragraph" w:styleId="BalloonText">
    <w:name w:val="Balloon Text"/>
    <w:basedOn w:val="Normal"/>
    <w:link w:val="BalloonTextChar"/>
    <w:uiPriority w:val="99"/>
    <w:semiHidden/>
    <w:unhideWhenUsed/>
    <w:rsid w:val="00382A2A"/>
    <w:rPr>
      <w:rFonts w:ascii="Tahoma" w:hAnsi="Tahoma" w:cs="Tahoma"/>
      <w:sz w:val="16"/>
      <w:szCs w:val="16"/>
    </w:rPr>
  </w:style>
  <w:style w:type="character" w:customStyle="1" w:styleId="BalloonTextChar">
    <w:name w:val="Balloon Text Char"/>
    <w:basedOn w:val="DefaultParagraphFont"/>
    <w:link w:val="BalloonText"/>
    <w:uiPriority w:val="99"/>
    <w:semiHidden/>
    <w:rsid w:val="00382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A2A"/>
    <w:rPr>
      <w:color w:val="0000FF"/>
      <w:u w:val="single"/>
    </w:rPr>
  </w:style>
  <w:style w:type="paragraph" w:customStyle="1" w:styleId="Default">
    <w:name w:val="Default"/>
    <w:basedOn w:val="Normal"/>
    <w:rsid w:val="00382A2A"/>
    <w:pPr>
      <w:autoSpaceDE w:val="0"/>
      <w:autoSpaceDN w:val="0"/>
    </w:pPr>
    <w:rPr>
      <w:color w:val="000000"/>
    </w:rPr>
  </w:style>
  <w:style w:type="paragraph" w:styleId="BalloonText">
    <w:name w:val="Balloon Text"/>
    <w:basedOn w:val="Normal"/>
    <w:link w:val="BalloonTextChar"/>
    <w:uiPriority w:val="99"/>
    <w:semiHidden/>
    <w:unhideWhenUsed/>
    <w:rsid w:val="00382A2A"/>
    <w:rPr>
      <w:rFonts w:ascii="Tahoma" w:hAnsi="Tahoma" w:cs="Tahoma"/>
      <w:sz w:val="16"/>
      <w:szCs w:val="16"/>
    </w:rPr>
  </w:style>
  <w:style w:type="character" w:customStyle="1" w:styleId="BalloonTextChar">
    <w:name w:val="Balloon Text Char"/>
    <w:basedOn w:val="DefaultParagraphFont"/>
    <w:link w:val="BalloonText"/>
    <w:uiPriority w:val="99"/>
    <w:semiHidden/>
    <w:rsid w:val="00382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9949">
      <w:bodyDiv w:val="1"/>
      <w:marLeft w:val="0"/>
      <w:marRight w:val="0"/>
      <w:marTop w:val="0"/>
      <w:marBottom w:val="0"/>
      <w:divBdr>
        <w:top w:val="none" w:sz="0" w:space="0" w:color="auto"/>
        <w:left w:val="none" w:sz="0" w:space="0" w:color="auto"/>
        <w:bottom w:val="none" w:sz="0" w:space="0" w:color="auto"/>
        <w:right w:val="none" w:sz="0" w:space="0" w:color="auto"/>
      </w:divBdr>
    </w:div>
    <w:div w:id="21164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EF58C.63CD5270" TargetMode="External"/><Relationship Id="rId13" Type="http://schemas.openxmlformats.org/officeDocument/2006/relationships/image" Target="cid:image002.png@01CEF58C.63CD5270"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oustonisd.org/portal/site/mediarelations" TargetMode="External"/><Relationship Id="rId11" Type="http://schemas.openxmlformats.org/officeDocument/2006/relationships/hyperlink" Target="https://twitter.com/intent/tweet?text=Board%20of%20Education%20to%20Consider%207%20More%20Contracts%20under%202012%20Bond%20Program%20%20-%20http://wp.me/p2N5b5-30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ustonisd.org/" TargetMode="External"/><Relationship Id="rId4" Type="http://schemas.openxmlformats.org/officeDocument/2006/relationships/settings" Target="settings.xml"/><Relationship Id="rId9" Type="http://schemas.openxmlformats.org/officeDocument/2006/relationships/hyperlink" Target="http://www.houstonisd.org/domain/7947" TargetMode="External"/><Relationship Id="rId14" Type="http://schemas.openxmlformats.org/officeDocument/2006/relationships/hyperlink" Target="https://twitter.com/intent/tweet?text=Board%20of%20Education%20to%20Consider%207%20More%20Contracts%20under%202012%20Bond%20Program%20%20-%20http://wp.me/p2N5b5-3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2013-12-11T19:00:00Z</dcterms:created>
  <dcterms:modified xsi:type="dcterms:W3CDTF">2013-12-13T00:57:00Z</dcterms:modified>
</cp:coreProperties>
</file>