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6BBE" w:rsidRDefault="00DA5D1E">
      <w:r>
        <w:rPr>
          <w:noProof/>
        </w:rPr>
        <w:drawing>
          <wp:inline distT="0" distB="0" distL="0" distR="0">
            <wp:extent cx="5943600" cy="1398494"/>
            <wp:effectExtent l="0" t="0" r="0" b="0"/>
            <wp:docPr id="1" name="Picture 1" descr="cid:image001.gif@01D3167D.07F9A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1.gif@01D3167D.07F9A280"/>
                    <pic:cNvPicPr>
                      <a:picLocks noChangeAspect="1" noChangeArrowheads="1"/>
                    </pic:cNvPicPr>
                  </pic:nvPicPr>
                  <pic:blipFill>
                    <a:blip r:embed="rId4" r:link="rId5">
                      <a:extLst>
                        <a:ext uri="{28A0092B-C50C-407E-A947-70E740481C1C}">
                          <a14:useLocalDpi xmlns:a14="http://schemas.microsoft.com/office/drawing/2010/main" val="0"/>
                        </a:ext>
                      </a:extLst>
                    </a:blip>
                    <a:srcRect/>
                    <a:stretch>
                      <a:fillRect/>
                    </a:stretch>
                  </pic:blipFill>
                  <pic:spPr bwMode="auto">
                    <a:xfrm>
                      <a:off x="0" y="0"/>
                      <a:ext cx="5943600" cy="1398494"/>
                    </a:xfrm>
                    <a:prstGeom prst="rect">
                      <a:avLst/>
                    </a:prstGeom>
                    <a:noFill/>
                    <a:ln>
                      <a:noFill/>
                    </a:ln>
                  </pic:spPr>
                </pic:pic>
              </a:graphicData>
            </a:graphic>
          </wp:inline>
        </w:drawing>
      </w:r>
    </w:p>
    <w:p w:rsidR="00062C66" w:rsidRPr="00062C66" w:rsidRDefault="00062C66" w:rsidP="00062C66">
      <w:pPr>
        <w:jc w:val="center"/>
        <w:rPr>
          <w:b/>
          <w:bCs/>
          <w:sz w:val="32"/>
          <w:szCs w:val="32"/>
        </w:rPr>
      </w:pPr>
      <w:r w:rsidRPr="00062C66">
        <w:rPr>
          <w:b/>
          <w:bCs/>
          <w:sz w:val="32"/>
          <w:szCs w:val="32"/>
        </w:rPr>
        <w:t>HISD high schools to hold Grads Within Reach Walk to encourage students to re-enroll</w:t>
      </w:r>
    </w:p>
    <w:p w:rsidR="00062C66" w:rsidRPr="00062C66" w:rsidRDefault="00062C66" w:rsidP="00062C66"/>
    <w:p w:rsidR="00062C66" w:rsidRPr="00062C66" w:rsidRDefault="00062C66" w:rsidP="00062C66">
      <w:pPr>
        <w:jc w:val="center"/>
        <w:rPr>
          <w:i/>
          <w:iCs/>
        </w:rPr>
      </w:pPr>
      <w:r w:rsidRPr="00062C66">
        <w:rPr>
          <w:i/>
          <w:iCs/>
        </w:rPr>
        <w:t>Volunteers to canvass neighborhoods around 23 campuses</w:t>
      </w:r>
    </w:p>
    <w:p w:rsidR="00062C66" w:rsidRPr="00062C66" w:rsidRDefault="00062C66" w:rsidP="00062C66">
      <w:pPr>
        <w:jc w:val="center"/>
        <w:rPr>
          <w:i/>
          <w:iCs/>
        </w:rPr>
      </w:pPr>
      <w:r w:rsidRPr="00062C66">
        <w:rPr>
          <w:i/>
          <w:iCs/>
        </w:rPr>
        <w:t>to offer information on programs and supports</w:t>
      </w:r>
    </w:p>
    <w:p w:rsidR="00062C66" w:rsidRPr="00062C66" w:rsidRDefault="00062C66" w:rsidP="00062C66">
      <w:pPr>
        <w:rPr>
          <w:b/>
          <w:bCs/>
        </w:rPr>
      </w:pPr>
    </w:p>
    <w:tbl>
      <w:tblPr>
        <w:tblW w:w="5000" w:type="pct"/>
        <w:tblCellSpacing w:w="22" w:type="dxa"/>
        <w:tblCellMar>
          <w:left w:w="0" w:type="dxa"/>
          <w:right w:w="0" w:type="dxa"/>
        </w:tblCellMar>
        <w:tblLook w:val="04A0" w:firstRow="1" w:lastRow="0" w:firstColumn="1" w:lastColumn="0" w:noHBand="0" w:noVBand="1"/>
      </w:tblPr>
      <w:tblGrid>
        <w:gridCol w:w="1260"/>
        <w:gridCol w:w="2053"/>
        <w:gridCol w:w="6047"/>
      </w:tblGrid>
      <w:tr w:rsidR="00062C66" w:rsidRPr="00062C66" w:rsidTr="00062C66">
        <w:trPr>
          <w:tblCellSpacing w:w="22" w:type="dxa"/>
        </w:trPr>
        <w:tc>
          <w:tcPr>
            <w:tcW w:w="647" w:type="pct"/>
            <w:tcMar>
              <w:top w:w="15" w:type="dxa"/>
              <w:left w:w="15" w:type="dxa"/>
              <w:bottom w:w="15" w:type="dxa"/>
              <w:right w:w="15" w:type="dxa"/>
            </w:tcMar>
            <w:hideMark/>
          </w:tcPr>
          <w:p w:rsidR="00062C66" w:rsidRPr="00062C66" w:rsidRDefault="00062C66" w:rsidP="00062C66">
            <w:r w:rsidRPr="00062C66">
              <w:rPr>
                <w:b/>
                <w:bCs/>
              </w:rPr>
              <w:t>What:</w:t>
            </w:r>
          </w:p>
        </w:tc>
        <w:tc>
          <w:tcPr>
            <w:tcW w:w="4329" w:type="pct"/>
            <w:gridSpan w:val="2"/>
            <w:tcMar>
              <w:top w:w="15" w:type="dxa"/>
              <w:left w:w="15" w:type="dxa"/>
              <w:bottom w:w="15" w:type="dxa"/>
              <w:right w:w="15" w:type="dxa"/>
            </w:tcMar>
            <w:vAlign w:val="center"/>
          </w:tcPr>
          <w:p w:rsidR="00062C66" w:rsidRPr="00062C66" w:rsidRDefault="00062C66" w:rsidP="00062C66">
            <w:r w:rsidRPr="00062C66">
              <w:t>The Houston Independent School District will hold its annual Grads Within Reach Walk on Saturday to encourage students who have dropped out or who have not returned to school for the fall semester to re-enroll. District administrators, community leaders, principals and volunteers will set out from 23 high schools across the district to knock on doors to personally encourage students to return to school. Students will receive information on the many support systems and resources HISD offers to help them graduate.</w:t>
            </w:r>
          </w:p>
          <w:p w:rsidR="00062C66" w:rsidRPr="00062C66" w:rsidRDefault="00062C66" w:rsidP="00062C66">
            <w:r w:rsidRPr="00062C66">
              <w:t xml:space="preserve">Participating HISD high schools include: Austin, Bellaire, Chavez, </w:t>
            </w:r>
            <w:proofErr w:type="spellStart"/>
            <w:r w:rsidRPr="00062C66">
              <w:t>Furr</w:t>
            </w:r>
            <w:proofErr w:type="spellEnd"/>
            <w:r w:rsidRPr="00062C66">
              <w:t xml:space="preserve">, Heights, </w:t>
            </w:r>
            <w:proofErr w:type="spellStart"/>
            <w:r w:rsidRPr="00062C66">
              <w:t>Kashmere</w:t>
            </w:r>
            <w:proofErr w:type="spellEnd"/>
            <w:r w:rsidRPr="00062C66">
              <w:t xml:space="preserve">, Lamar, Madison, </w:t>
            </w:r>
            <w:proofErr w:type="spellStart"/>
            <w:r w:rsidRPr="00062C66">
              <w:t>Milby</w:t>
            </w:r>
            <w:proofErr w:type="spellEnd"/>
            <w:r w:rsidRPr="00062C66">
              <w:t xml:space="preserve">, North Forest, Northside, </w:t>
            </w:r>
            <w:proofErr w:type="spellStart"/>
            <w:r w:rsidRPr="00062C66">
              <w:t>Sharpstown</w:t>
            </w:r>
            <w:proofErr w:type="spellEnd"/>
            <w:r w:rsidRPr="00062C66">
              <w:t xml:space="preserve">, Sterling, </w:t>
            </w:r>
            <w:proofErr w:type="spellStart"/>
            <w:r w:rsidRPr="00062C66">
              <w:t>Waltrip</w:t>
            </w:r>
            <w:proofErr w:type="spellEnd"/>
            <w:r w:rsidRPr="00062C66">
              <w:t xml:space="preserve">, Washington, Westbury, Westside, Wheatley, Wisdom, </w:t>
            </w:r>
            <w:proofErr w:type="spellStart"/>
            <w:r w:rsidRPr="00062C66">
              <w:t>Worthing</w:t>
            </w:r>
            <w:proofErr w:type="spellEnd"/>
            <w:r w:rsidRPr="00062C66">
              <w:t>, and Yates high schools, Sam Houston MSTC, and Secondary DAEP.</w:t>
            </w:r>
          </w:p>
          <w:p w:rsidR="00062C66" w:rsidRPr="00062C66" w:rsidRDefault="00062C66" w:rsidP="00062C66"/>
        </w:tc>
      </w:tr>
      <w:tr w:rsidR="00062C66" w:rsidRPr="00062C66" w:rsidTr="00062C66">
        <w:trPr>
          <w:tblCellSpacing w:w="22" w:type="dxa"/>
        </w:trPr>
        <w:tc>
          <w:tcPr>
            <w:tcW w:w="1736" w:type="pct"/>
            <w:gridSpan w:val="2"/>
            <w:tcMar>
              <w:top w:w="15" w:type="dxa"/>
              <w:left w:w="15" w:type="dxa"/>
              <w:bottom w:w="15" w:type="dxa"/>
              <w:right w:w="15" w:type="dxa"/>
            </w:tcMar>
            <w:hideMark/>
          </w:tcPr>
          <w:p w:rsidR="00062C66" w:rsidRPr="00062C66" w:rsidRDefault="00062C66" w:rsidP="00062C66"/>
        </w:tc>
        <w:tc>
          <w:tcPr>
            <w:tcW w:w="3240" w:type="pct"/>
            <w:tcMar>
              <w:top w:w="15" w:type="dxa"/>
              <w:left w:w="15" w:type="dxa"/>
              <w:bottom w:w="15" w:type="dxa"/>
              <w:right w:w="15" w:type="dxa"/>
            </w:tcMar>
            <w:vAlign w:val="center"/>
          </w:tcPr>
          <w:p w:rsidR="00062C66" w:rsidRPr="00062C66" w:rsidRDefault="00062C66" w:rsidP="00062C66"/>
        </w:tc>
      </w:tr>
      <w:tr w:rsidR="00062C66" w:rsidRPr="00062C66" w:rsidTr="00062C66">
        <w:trPr>
          <w:tblCellSpacing w:w="22" w:type="dxa"/>
        </w:trPr>
        <w:tc>
          <w:tcPr>
            <w:tcW w:w="647" w:type="pct"/>
            <w:tcMar>
              <w:top w:w="15" w:type="dxa"/>
              <w:left w:w="15" w:type="dxa"/>
              <w:bottom w:w="15" w:type="dxa"/>
              <w:right w:w="15" w:type="dxa"/>
            </w:tcMar>
            <w:hideMark/>
          </w:tcPr>
          <w:p w:rsidR="00062C66" w:rsidRPr="00062C66" w:rsidRDefault="00062C66" w:rsidP="00062C66">
            <w:r w:rsidRPr="00062C66">
              <w:rPr>
                <w:b/>
                <w:bCs/>
              </w:rPr>
              <w:t>Who:</w:t>
            </w:r>
          </w:p>
        </w:tc>
        <w:tc>
          <w:tcPr>
            <w:tcW w:w="4329" w:type="pct"/>
            <w:gridSpan w:val="2"/>
            <w:tcMar>
              <w:top w:w="15" w:type="dxa"/>
              <w:left w:w="15" w:type="dxa"/>
              <w:bottom w:w="15" w:type="dxa"/>
              <w:right w:w="15" w:type="dxa"/>
            </w:tcMar>
            <w:vAlign w:val="center"/>
            <w:hideMark/>
          </w:tcPr>
          <w:p w:rsidR="00062C66" w:rsidRPr="00062C66" w:rsidRDefault="00062C66" w:rsidP="00062C66">
            <w:r w:rsidRPr="00062C66">
              <w:t xml:space="preserve">HISD Trustee for District IX </w:t>
            </w:r>
            <w:r w:rsidRPr="00062C66">
              <w:rPr>
                <w:b/>
                <w:bCs/>
              </w:rPr>
              <w:t>Wanda Adams</w:t>
            </w:r>
            <w:r w:rsidRPr="00062C66">
              <w:t xml:space="preserve">, HISD Interim Superintendent </w:t>
            </w:r>
            <w:r w:rsidRPr="00062C66">
              <w:rPr>
                <w:b/>
                <w:bCs/>
              </w:rPr>
              <w:t>Grenita Lathan</w:t>
            </w:r>
            <w:r w:rsidRPr="00062C66">
              <w:t>, district administrators, principals, community leaders and volunteers</w:t>
            </w:r>
          </w:p>
        </w:tc>
      </w:tr>
      <w:tr w:rsidR="00062C66" w:rsidRPr="00062C66" w:rsidTr="00062C66">
        <w:trPr>
          <w:tblCellSpacing w:w="22" w:type="dxa"/>
        </w:trPr>
        <w:tc>
          <w:tcPr>
            <w:tcW w:w="647" w:type="pct"/>
            <w:tcMar>
              <w:top w:w="15" w:type="dxa"/>
              <w:left w:w="15" w:type="dxa"/>
              <w:bottom w:w="15" w:type="dxa"/>
              <w:right w:w="15" w:type="dxa"/>
            </w:tcMar>
          </w:tcPr>
          <w:p w:rsidR="00062C66" w:rsidRPr="00062C66" w:rsidRDefault="00062C66" w:rsidP="00062C66">
            <w:pPr>
              <w:rPr>
                <w:b/>
                <w:bCs/>
              </w:rPr>
            </w:pPr>
          </w:p>
        </w:tc>
        <w:tc>
          <w:tcPr>
            <w:tcW w:w="4329" w:type="pct"/>
            <w:gridSpan w:val="2"/>
            <w:tcMar>
              <w:top w:w="15" w:type="dxa"/>
              <w:left w:w="15" w:type="dxa"/>
              <w:bottom w:w="15" w:type="dxa"/>
              <w:right w:w="15" w:type="dxa"/>
            </w:tcMar>
            <w:vAlign w:val="center"/>
          </w:tcPr>
          <w:p w:rsidR="00062C66" w:rsidRPr="00062C66" w:rsidRDefault="00062C66" w:rsidP="00062C66"/>
        </w:tc>
      </w:tr>
      <w:tr w:rsidR="00062C66" w:rsidRPr="00062C66" w:rsidTr="00062C66">
        <w:trPr>
          <w:tblCellSpacing w:w="22" w:type="dxa"/>
        </w:trPr>
        <w:tc>
          <w:tcPr>
            <w:tcW w:w="647" w:type="pct"/>
            <w:tcMar>
              <w:top w:w="15" w:type="dxa"/>
              <w:left w:w="15" w:type="dxa"/>
              <w:bottom w:w="15" w:type="dxa"/>
              <w:right w:w="15" w:type="dxa"/>
            </w:tcMar>
            <w:hideMark/>
          </w:tcPr>
          <w:p w:rsidR="00062C66" w:rsidRPr="00062C66" w:rsidRDefault="00062C66" w:rsidP="00062C66">
            <w:r w:rsidRPr="00062C66">
              <w:rPr>
                <w:b/>
                <w:bCs/>
              </w:rPr>
              <w:t>When:</w:t>
            </w:r>
          </w:p>
        </w:tc>
        <w:tc>
          <w:tcPr>
            <w:tcW w:w="4329" w:type="pct"/>
            <w:gridSpan w:val="2"/>
            <w:tcMar>
              <w:top w:w="15" w:type="dxa"/>
              <w:left w:w="15" w:type="dxa"/>
              <w:bottom w:w="15" w:type="dxa"/>
              <w:right w:w="15" w:type="dxa"/>
            </w:tcMar>
            <w:vAlign w:val="center"/>
            <w:hideMark/>
          </w:tcPr>
          <w:p w:rsidR="00062C66" w:rsidRPr="00062C66" w:rsidRDefault="00062C66" w:rsidP="00062C66">
            <w:pPr>
              <w:rPr>
                <w:u w:val="single"/>
              </w:rPr>
            </w:pPr>
            <w:r w:rsidRPr="00062C66">
              <w:rPr>
                <w:b/>
                <w:bCs/>
                <w:u w:val="single"/>
              </w:rPr>
              <w:t>Saturday, Sept. 22 at 8 a.m. to noon</w:t>
            </w:r>
          </w:p>
        </w:tc>
      </w:tr>
      <w:tr w:rsidR="00062C66" w:rsidRPr="00062C66" w:rsidTr="00062C66">
        <w:trPr>
          <w:tblCellSpacing w:w="22" w:type="dxa"/>
        </w:trPr>
        <w:tc>
          <w:tcPr>
            <w:tcW w:w="647" w:type="pct"/>
            <w:tcMar>
              <w:top w:w="15" w:type="dxa"/>
              <w:left w:w="15" w:type="dxa"/>
              <w:bottom w:w="15" w:type="dxa"/>
              <w:right w:w="15" w:type="dxa"/>
            </w:tcMar>
          </w:tcPr>
          <w:p w:rsidR="00062C66" w:rsidRPr="00062C66" w:rsidRDefault="00062C66" w:rsidP="00062C66">
            <w:pPr>
              <w:rPr>
                <w:b/>
                <w:bCs/>
              </w:rPr>
            </w:pPr>
          </w:p>
        </w:tc>
        <w:tc>
          <w:tcPr>
            <w:tcW w:w="4329" w:type="pct"/>
            <w:gridSpan w:val="2"/>
            <w:tcMar>
              <w:top w:w="15" w:type="dxa"/>
              <w:left w:w="15" w:type="dxa"/>
              <w:bottom w:w="15" w:type="dxa"/>
              <w:right w:w="15" w:type="dxa"/>
            </w:tcMar>
            <w:vAlign w:val="center"/>
          </w:tcPr>
          <w:p w:rsidR="00062C66" w:rsidRPr="00062C66" w:rsidRDefault="00062C66" w:rsidP="00062C66">
            <w:pPr>
              <w:rPr>
                <w:u w:val="single"/>
              </w:rPr>
            </w:pPr>
          </w:p>
        </w:tc>
      </w:tr>
      <w:tr w:rsidR="00062C66" w:rsidRPr="00062C66" w:rsidTr="00062C66">
        <w:trPr>
          <w:tblCellSpacing w:w="22" w:type="dxa"/>
        </w:trPr>
        <w:tc>
          <w:tcPr>
            <w:tcW w:w="647" w:type="pct"/>
            <w:tcMar>
              <w:top w:w="15" w:type="dxa"/>
              <w:left w:w="15" w:type="dxa"/>
              <w:bottom w:w="15" w:type="dxa"/>
              <w:right w:w="15" w:type="dxa"/>
            </w:tcMar>
            <w:hideMark/>
          </w:tcPr>
          <w:p w:rsidR="00062C66" w:rsidRPr="00062C66" w:rsidRDefault="00062C66" w:rsidP="00062C66">
            <w:pPr>
              <w:rPr>
                <w:b/>
                <w:bCs/>
              </w:rPr>
            </w:pPr>
            <w:r w:rsidRPr="00062C66">
              <w:rPr>
                <w:b/>
                <w:bCs/>
              </w:rPr>
              <w:t>Where:</w:t>
            </w:r>
          </w:p>
        </w:tc>
        <w:tc>
          <w:tcPr>
            <w:tcW w:w="4329" w:type="pct"/>
            <w:gridSpan w:val="2"/>
            <w:tcMar>
              <w:top w:w="15" w:type="dxa"/>
              <w:left w:w="15" w:type="dxa"/>
              <w:bottom w:w="15" w:type="dxa"/>
              <w:right w:w="15" w:type="dxa"/>
            </w:tcMar>
            <w:vAlign w:val="center"/>
            <w:hideMark/>
          </w:tcPr>
          <w:p w:rsidR="00062C66" w:rsidRPr="00062C66" w:rsidRDefault="00062C66" w:rsidP="00062C66">
            <w:r w:rsidRPr="00062C66">
              <w:t xml:space="preserve">Madison High </w:t>
            </w:r>
            <w:proofErr w:type="gramStart"/>
            <w:r w:rsidRPr="00062C66">
              <w:t>School  13719</w:t>
            </w:r>
            <w:proofErr w:type="gramEnd"/>
            <w:r w:rsidRPr="00062C66">
              <w:t xml:space="preserve"> White Heather Dr., 77045</w:t>
            </w:r>
            <w:bookmarkStart w:id="0" w:name="_GoBack"/>
            <w:bookmarkEnd w:id="0"/>
          </w:p>
        </w:tc>
      </w:tr>
      <w:tr w:rsidR="00062C66" w:rsidRPr="00062C66" w:rsidTr="00062C66">
        <w:trPr>
          <w:tblCellSpacing w:w="22" w:type="dxa"/>
        </w:trPr>
        <w:tc>
          <w:tcPr>
            <w:tcW w:w="3585" w:type="dxa"/>
            <w:vAlign w:val="center"/>
            <w:hideMark/>
          </w:tcPr>
          <w:p w:rsidR="00062C66" w:rsidRPr="00062C66" w:rsidRDefault="00062C66" w:rsidP="00062C66"/>
        </w:tc>
        <w:tc>
          <w:tcPr>
            <w:tcW w:w="1245" w:type="dxa"/>
            <w:vAlign w:val="center"/>
            <w:hideMark/>
          </w:tcPr>
          <w:p w:rsidR="00062C66" w:rsidRPr="00062C66" w:rsidRDefault="00062C66" w:rsidP="00062C66"/>
        </w:tc>
        <w:tc>
          <w:tcPr>
            <w:tcW w:w="5790" w:type="dxa"/>
            <w:vAlign w:val="center"/>
            <w:hideMark/>
          </w:tcPr>
          <w:p w:rsidR="00062C66" w:rsidRPr="00062C66" w:rsidRDefault="00062C66" w:rsidP="00062C66"/>
        </w:tc>
      </w:tr>
    </w:tbl>
    <w:p w:rsidR="00062C66" w:rsidRDefault="00062C66"/>
    <w:sectPr w:rsidR="00062C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D1E"/>
    <w:rsid w:val="00062C66"/>
    <w:rsid w:val="00132E6F"/>
    <w:rsid w:val="00554504"/>
    <w:rsid w:val="006E654A"/>
    <w:rsid w:val="007500F5"/>
    <w:rsid w:val="007F636F"/>
    <w:rsid w:val="00A91035"/>
    <w:rsid w:val="00B55939"/>
    <w:rsid w:val="00C16BBE"/>
    <w:rsid w:val="00DA5D1E"/>
    <w:rsid w:val="00ED2C74"/>
    <w:rsid w:val="00F672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1B1B4F"/>
  <w15:chartTrackingRefBased/>
  <w15:docId w15:val="{DFEAF10B-679F-4C78-8408-512DA3F2D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F636F"/>
    <w:rPr>
      <w:color w:val="0563C1" w:themeColor="hyperlink"/>
      <w:u w:val="single"/>
    </w:rPr>
  </w:style>
  <w:style w:type="character" w:styleId="UnresolvedMention">
    <w:name w:val="Unresolved Mention"/>
    <w:basedOn w:val="DefaultParagraphFont"/>
    <w:uiPriority w:val="99"/>
    <w:semiHidden/>
    <w:unhideWhenUsed/>
    <w:rsid w:val="007F636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517318">
      <w:bodyDiv w:val="1"/>
      <w:marLeft w:val="0"/>
      <w:marRight w:val="0"/>
      <w:marTop w:val="0"/>
      <w:marBottom w:val="0"/>
      <w:divBdr>
        <w:top w:val="none" w:sz="0" w:space="0" w:color="auto"/>
        <w:left w:val="none" w:sz="0" w:space="0" w:color="auto"/>
        <w:bottom w:val="none" w:sz="0" w:space="0" w:color="auto"/>
        <w:right w:val="none" w:sz="0" w:space="0" w:color="auto"/>
      </w:divBdr>
    </w:div>
    <w:div w:id="123669114">
      <w:bodyDiv w:val="1"/>
      <w:marLeft w:val="0"/>
      <w:marRight w:val="0"/>
      <w:marTop w:val="0"/>
      <w:marBottom w:val="0"/>
      <w:divBdr>
        <w:top w:val="none" w:sz="0" w:space="0" w:color="auto"/>
        <w:left w:val="none" w:sz="0" w:space="0" w:color="auto"/>
        <w:bottom w:val="none" w:sz="0" w:space="0" w:color="auto"/>
        <w:right w:val="none" w:sz="0" w:space="0" w:color="auto"/>
      </w:divBdr>
    </w:div>
    <w:div w:id="133569849">
      <w:bodyDiv w:val="1"/>
      <w:marLeft w:val="0"/>
      <w:marRight w:val="0"/>
      <w:marTop w:val="0"/>
      <w:marBottom w:val="0"/>
      <w:divBdr>
        <w:top w:val="none" w:sz="0" w:space="0" w:color="auto"/>
        <w:left w:val="none" w:sz="0" w:space="0" w:color="auto"/>
        <w:bottom w:val="none" w:sz="0" w:space="0" w:color="auto"/>
        <w:right w:val="none" w:sz="0" w:space="0" w:color="auto"/>
      </w:divBdr>
    </w:div>
    <w:div w:id="826167954">
      <w:bodyDiv w:val="1"/>
      <w:marLeft w:val="0"/>
      <w:marRight w:val="0"/>
      <w:marTop w:val="0"/>
      <w:marBottom w:val="0"/>
      <w:divBdr>
        <w:top w:val="none" w:sz="0" w:space="0" w:color="auto"/>
        <w:left w:val="none" w:sz="0" w:space="0" w:color="auto"/>
        <w:bottom w:val="none" w:sz="0" w:space="0" w:color="auto"/>
        <w:right w:val="none" w:sz="0" w:space="0" w:color="auto"/>
      </w:divBdr>
    </w:div>
    <w:div w:id="1135097255">
      <w:bodyDiv w:val="1"/>
      <w:marLeft w:val="0"/>
      <w:marRight w:val="0"/>
      <w:marTop w:val="0"/>
      <w:marBottom w:val="0"/>
      <w:divBdr>
        <w:top w:val="none" w:sz="0" w:space="0" w:color="auto"/>
        <w:left w:val="none" w:sz="0" w:space="0" w:color="auto"/>
        <w:bottom w:val="none" w:sz="0" w:space="0" w:color="auto"/>
        <w:right w:val="none" w:sz="0" w:space="0" w:color="auto"/>
      </w:divBdr>
    </w:div>
    <w:div w:id="1189610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cid:image001.gif@01D3167D.07F9A280" TargetMode="External"/><Relationship Id="rId4"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192</Words>
  <Characters>1097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Quintanilla, Milagros C</dc:creator>
  <cp:keywords/>
  <dc:description/>
  <cp:lastModifiedBy>Quintanilla, Milagros C</cp:lastModifiedBy>
  <cp:revision>2</cp:revision>
  <dcterms:created xsi:type="dcterms:W3CDTF">2018-11-09T02:03:00Z</dcterms:created>
  <dcterms:modified xsi:type="dcterms:W3CDTF">2018-11-09T02:03:00Z</dcterms:modified>
</cp:coreProperties>
</file>