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8C0" w:rsidRDefault="00450325">
      <w:r>
        <w:rPr>
          <w:noProof/>
        </w:rPr>
        <w:drawing>
          <wp:inline distT="0" distB="0" distL="0" distR="0">
            <wp:extent cx="5943600" cy="1398494"/>
            <wp:effectExtent l="0" t="0" r="0" b="0"/>
            <wp:docPr id="1" name="Picture 1" descr="cid:image001.gif@01D3167D.07F9A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gif@01D3167D.07F9A28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0325" w:rsidRPr="00450325" w:rsidRDefault="00450325" w:rsidP="00450325">
      <w:pPr>
        <w:jc w:val="center"/>
        <w:rPr>
          <w:b/>
          <w:bCs/>
          <w:sz w:val="48"/>
          <w:szCs w:val="48"/>
        </w:rPr>
      </w:pPr>
      <w:r w:rsidRPr="00450325">
        <w:rPr>
          <w:b/>
          <w:bCs/>
          <w:sz w:val="48"/>
          <w:szCs w:val="48"/>
        </w:rPr>
        <w:t>Second annual East Area Feast of Arts showcase this weekend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2"/>
        <w:gridCol w:w="7568"/>
      </w:tblGrid>
      <w:tr w:rsidR="00450325" w:rsidRPr="00450325" w:rsidTr="00450325">
        <w:trPr>
          <w:tblCellSpacing w:w="22" w:type="dxa"/>
        </w:trPr>
        <w:tc>
          <w:tcPr>
            <w:tcW w:w="9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325" w:rsidRPr="00450325" w:rsidRDefault="00450325" w:rsidP="00450325">
            <w:r w:rsidRPr="00450325">
              <w:rPr>
                <w:b/>
                <w:bCs/>
              </w:rPr>
              <w:t>What:</w:t>
            </w:r>
          </w:p>
        </w:tc>
        <w:tc>
          <w:tcPr>
            <w:tcW w:w="40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325" w:rsidRPr="00450325" w:rsidRDefault="00450325" w:rsidP="00450325">
            <w:r w:rsidRPr="00450325">
              <w:t xml:space="preserve">Schools in the Chávez and </w:t>
            </w:r>
            <w:proofErr w:type="spellStart"/>
            <w:r w:rsidRPr="00450325">
              <w:t>Milby</w:t>
            </w:r>
            <w:proofErr w:type="spellEnd"/>
            <w:r w:rsidRPr="00450325">
              <w:t xml:space="preserve"> High School feeder patterns will host the second annual Feast of Arts fine arts showcase as part of a larger effort to increase arts access in the area.</w:t>
            </w:r>
          </w:p>
          <w:p w:rsidR="00450325" w:rsidRPr="00450325" w:rsidRDefault="00450325" w:rsidP="00450325">
            <w:r w:rsidRPr="00450325">
              <w:t xml:space="preserve">The showcase will feature live performances in the Chávez auditorium and commons, and will include ballet </w:t>
            </w:r>
            <w:r w:rsidRPr="00450325">
              <w:rPr>
                <w:lang w:val="es-419"/>
              </w:rPr>
              <w:t>folclórico</w:t>
            </w:r>
            <w:r w:rsidRPr="00450325">
              <w:t xml:space="preserve"> and other forms of dance, theater, choir, band, mariachi, jazz, orchestra, and more. Participating schools are </w:t>
            </w:r>
            <w:proofErr w:type="spellStart"/>
            <w:r w:rsidRPr="00450325">
              <w:t>Bellfort</w:t>
            </w:r>
            <w:proofErr w:type="spellEnd"/>
            <w:r w:rsidRPr="00450325">
              <w:t xml:space="preserve"> Early Childhood Center; Bonner, Lewis, Patterson, Park Place, and Rucker elementary schools; Ortiz and Stevenson middle schools; and Chavez High School. In addition, the schools will be selling concessions to raise funds to support the fine arts.</w:t>
            </w:r>
            <w:bookmarkStart w:id="0" w:name="_GoBack"/>
            <w:bookmarkEnd w:id="0"/>
          </w:p>
          <w:p w:rsidR="00450325" w:rsidRPr="00450325" w:rsidRDefault="00450325" w:rsidP="00450325">
            <w:r w:rsidRPr="00450325">
              <w:t>A wealth of visual arts by students will be on display as well, and attendees are also invited to join a visual arts tour led by one of our teachers. New this year are arts activities that attendees can participate in, including crafting a vessel on a pottery wheel and creating a painting with watercolors.</w:t>
            </w:r>
          </w:p>
        </w:tc>
      </w:tr>
      <w:tr w:rsidR="00450325" w:rsidRPr="00450325" w:rsidTr="00450325">
        <w:trPr>
          <w:tblCellSpacing w:w="22" w:type="dxa"/>
        </w:trPr>
        <w:tc>
          <w:tcPr>
            <w:tcW w:w="9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325" w:rsidRPr="00450325" w:rsidRDefault="00450325" w:rsidP="00450325"/>
        </w:tc>
        <w:tc>
          <w:tcPr>
            <w:tcW w:w="40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325" w:rsidRPr="00450325" w:rsidRDefault="00450325" w:rsidP="00450325">
            <w:r w:rsidRPr="00450325">
              <w:t> </w:t>
            </w:r>
          </w:p>
        </w:tc>
      </w:tr>
      <w:tr w:rsidR="00450325" w:rsidRPr="00450325" w:rsidTr="00450325">
        <w:trPr>
          <w:tblCellSpacing w:w="22" w:type="dxa"/>
        </w:trPr>
        <w:tc>
          <w:tcPr>
            <w:tcW w:w="9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325" w:rsidRPr="00450325" w:rsidRDefault="00450325" w:rsidP="00450325">
            <w:r w:rsidRPr="00450325">
              <w:rPr>
                <w:b/>
                <w:bCs/>
              </w:rPr>
              <w:t>Who:</w:t>
            </w:r>
          </w:p>
        </w:tc>
        <w:tc>
          <w:tcPr>
            <w:tcW w:w="40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325" w:rsidRPr="00450325" w:rsidRDefault="00450325" w:rsidP="00450325">
            <w:r w:rsidRPr="00450325">
              <w:t xml:space="preserve">Schools in the Chávez and </w:t>
            </w:r>
            <w:proofErr w:type="spellStart"/>
            <w:r w:rsidRPr="00450325">
              <w:t>Milby</w:t>
            </w:r>
            <w:proofErr w:type="spellEnd"/>
            <w:r w:rsidRPr="00450325">
              <w:t xml:space="preserve"> High School feeder patterns</w:t>
            </w:r>
          </w:p>
        </w:tc>
      </w:tr>
      <w:tr w:rsidR="00450325" w:rsidRPr="00450325" w:rsidTr="00450325">
        <w:trPr>
          <w:tblCellSpacing w:w="22" w:type="dxa"/>
        </w:trPr>
        <w:tc>
          <w:tcPr>
            <w:tcW w:w="9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325" w:rsidRPr="00450325" w:rsidRDefault="00450325" w:rsidP="00450325">
            <w:r w:rsidRPr="00450325">
              <w:rPr>
                <w:b/>
                <w:bCs/>
              </w:rPr>
              <w:t> </w:t>
            </w:r>
          </w:p>
        </w:tc>
        <w:tc>
          <w:tcPr>
            <w:tcW w:w="40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325" w:rsidRPr="00450325" w:rsidRDefault="00450325" w:rsidP="00450325">
            <w:r w:rsidRPr="00450325">
              <w:t> </w:t>
            </w:r>
          </w:p>
        </w:tc>
      </w:tr>
      <w:tr w:rsidR="00450325" w:rsidRPr="00450325" w:rsidTr="00450325">
        <w:trPr>
          <w:tblCellSpacing w:w="22" w:type="dxa"/>
        </w:trPr>
        <w:tc>
          <w:tcPr>
            <w:tcW w:w="9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325" w:rsidRPr="00450325" w:rsidRDefault="00450325" w:rsidP="00450325">
            <w:r w:rsidRPr="00450325">
              <w:rPr>
                <w:b/>
                <w:bCs/>
              </w:rPr>
              <w:t>When:</w:t>
            </w:r>
          </w:p>
        </w:tc>
        <w:tc>
          <w:tcPr>
            <w:tcW w:w="40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325" w:rsidRPr="00450325" w:rsidRDefault="00450325" w:rsidP="00450325">
            <w:r w:rsidRPr="00450325">
              <w:rPr>
                <w:b/>
                <w:bCs/>
                <w:u w:val="single"/>
              </w:rPr>
              <w:t>Saturday, April. 21, 2018, 10 a.m. to 1 p.m.</w:t>
            </w:r>
          </w:p>
        </w:tc>
      </w:tr>
      <w:tr w:rsidR="00450325" w:rsidRPr="00450325" w:rsidTr="00450325">
        <w:trPr>
          <w:tblCellSpacing w:w="22" w:type="dxa"/>
        </w:trPr>
        <w:tc>
          <w:tcPr>
            <w:tcW w:w="92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50325" w:rsidRPr="00450325" w:rsidRDefault="00450325" w:rsidP="00450325">
            <w:pPr>
              <w:rPr>
                <w:b/>
                <w:bCs/>
              </w:rPr>
            </w:pPr>
          </w:p>
        </w:tc>
        <w:tc>
          <w:tcPr>
            <w:tcW w:w="40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50325" w:rsidRPr="00450325" w:rsidRDefault="00450325" w:rsidP="00450325"/>
        </w:tc>
      </w:tr>
      <w:tr w:rsidR="00450325" w:rsidRPr="00450325" w:rsidTr="00450325">
        <w:trPr>
          <w:tblCellSpacing w:w="22" w:type="dxa"/>
        </w:trPr>
        <w:tc>
          <w:tcPr>
            <w:tcW w:w="929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0325" w:rsidRPr="00450325" w:rsidRDefault="00450325" w:rsidP="00450325">
            <w:r w:rsidRPr="00450325">
              <w:rPr>
                <w:b/>
                <w:bCs/>
              </w:rPr>
              <w:t>Where:</w:t>
            </w:r>
          </w:p>
        </w:tc>
        <w:tc>
          <w:tcPr>
            <w:tcW w:w="4037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0325" w:rsidRPr="00450325" w:rsidRDefault="00450325" w:rsidP="00450325">
            <w:r w:rsidRPr="00450325">
              <w:t>Chávez High School, 8501 Howard Drive, Houston, TX 77017</w:t>
            </w:r>
          </w:p>
        </w:tc>
      </w:tr>
    </w:tbl>
    <w:p w:rsidR="00450325" w:rsidRDefault="00450325"/>
    <w:sectPr w:rsidR="004503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325"/>
    <w:rsid w:val="00450325"/>
    <w:rsid w:val="004F3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539D2"/>
  <w15:chartTrackingRefBased/>
  <w15:docId w15:val="{6105CD22-7193-4C0C-9A86-B537E1F93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46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gif@01D3D760.63810B30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Quintanilla, Milagros C</dc:creator>
  <cp:keywords/>
  <dc:description/>
  <cp:lastModifiedBy>Quintanilla, Milagros C</cp:lastModifiedBy>
  <cp:revision>1</cp:revision>
  <dcterms:created xsi:type="dcterms:W3CDTF">2018-06-12T19:10:00Z</dcterms:created>
  <dcterms:modified xsi:type="dcterms:W3CDTF">2018-06-12T19:11:00Z</dcterms:modified>
</cp:coreProperties>
</file>