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350D" w14:textId="1F45992F" w:rsidR="006143F3" w:rsidRDefault="006143F3" w:rsidP="00E62532">
      <w:r w:rsidRPr="006143F3">
        <w:t xml:space="preserve">20 de </w:t>
      </w:r>
      <w:proofErr w:type="spellStart"/>
      <w:r>
        <w:t>F</w:t>
      </w:r>
      <w:r w:rsidRPr="006143F3">
        <w:t>ebrero</w:t>
      </w:r>
      <w:proofErr w:type="spellEnd"/>
      <w:r w:rsidRPr="006143F3">
        <w:t xml:space="preserve"> de 2023</w:t>
      </w:r>
    </w:p>
    <w:p w14:paraId="11061582" w14:textId="41E1FA5A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Estimado padre de familia:</w:t>
      </w:r>
    </w:p>
    <w:p w14:paraId="3173CC1B" w14:textId="6EAB1E7E" w:rsidR="00E62532" w:rsidRDefault="006143F3" w:rsidP="00E62532">
      <w:pPr>
        <w:rPr>
          <w:rFonts w:cstheme="minorHAnsi"/>
        </w:rPr>
      </w:pPr>
      <w:proofErr w:type="spellStart"/>
      <w:r>
        <w:rPr>
          <w:rFonts w:ascii="Calibri" w:hAnsi="Calibri" w:cs="Calibri"/>
        </w:rPr>
        <w:t>Gregogry</w:t>
      </w:r>
      <w:proofErr w:type="spellEnd"/>
      <w:r>
        <w:rPr>
          <w:rFonts w:ascii="Calibri" w:hAnsi="Calibri" w:cs="Calibri"/>
        </w:rPr>
        <w:t>-Lincoln Education Center</w:t>
      </w:r>
      <w:r w:rsidR="00E62532">
        <w:rPr>
          <w:rFonts w:ascii="Calibri" w:hAnsi="Calibri" w:cs="Calibri"/>
        </w:rPr>
        <w:t xml:space="preserve"> </w:t>
      </w:r>
      <w:r w:rsidR="00E62532">
        <w:rPr>
          <w:rFonts w:cstheme="minorHAnsi"/>
          <w:lang w:val="es-ES"/>
        </w:rPr>
        <w:t>le envía esta información sobre el distrito y la escuela de su hijo en el cumplimiento de obligaciones establecidas por la ley federal Éxito para Todos los Estudiantes (ESSA) aprobada en 2015.</w:t>
      </w:r>
    </w:p>
    <w:p w14:paraId="426A0445" w14:textId="77777777" w:rsidR="00E62532" w:rsidRDefault="00E62532" w:rsidP="00E62532">
      <w:pPr>
        <w:pStyle w:val="BodyText"/>
        <w:spacing w:line="256" w:lineRule="auto"/>
        <w:ind w:left="120"/>
        <w:rPr>
          <w:lang w:val="es-419"/>
        </w:rPr>
      </w:pPr>
      <w:r>
        <w:rPr>
          <w:lang w:val="es-419"/>
        </w:rPr>
        <w:t xml:space="preserve">Los informes federales sobre el estado, el distrito y su escuela se encuentran en las siguientes páginas web: </w:t>
      </w:r>
    </w:p>
    <w:p w14:paraId="7832AA72" w14:textId="77777777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TEA, haga clic </w:t>
      </w:r>
      <w:hyperlink r:id="rId5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4AC1E062" w14:textId="77777777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el distrito, haga clic </w:t>
      </w:r>
      <w:hyperlink r:id="rId6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0AC9EAF1" w14:textId="7D172C94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la escuela, haga clic en: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8EB5CB378B1A4BE59EE20423465E5C8B"/>
          </w:placeholder>
        </w:sdtPr>
        <w:sdtEndPr/>
        <w:sdtContent>
          <w:hyperlink r:id="rId7" w:history="1">
            <w:r w:rsidR="006143F3" w:rsidRPr="006143F3">
              <w:rPr>
                <w:color w:val="0563C1" w:themeColor="hyperlink"/>
                <w:u w:val="single"/>
              </w:rPr>
              <w:t>CL</w:t>
            </w:r>
            <w:r w:rsidR="006143F3" w:rsidRPr="006143F3">
              <w:rPr>
                <w:color w:val="0563C1" w:themeColor="hyperlink"/>
                <w:u w:val="single"/>
              </w:rPr>
              <w:t>I</w:t>
            </w:r>
            <w:r w:rsidR="006143F3" w:rsidRPr="006143F3">
              <w:rPr>
                <w:color w:val="0563C1" w:themeColor="hyperlink"/>
                <w:u w:val="single"/>
              </w:rPr>
              <w:t xml:space="preserve">C </w:t>
            </w:r>
            <w:r w:rsidR="006143F3">
              <w:rPr>
                <w:color w:val="0563C1" w:themeColor="hyperlink"/>
                <w:u w:val="single"/>
              </w:rPr>
              <w:t>AQUI</w:t>
            </w:r>
          </w:hyperlink>
          <w:r w:rsidR="006143F3">
            <w:t xml:space="preserve"> </w:t>
          </w:r>
        </w:sdtContent>
      </w:sdt>
    </w:p>
    <w:p w14:paraId="7F46E322" w14:textId="77777777" w:rsidR="00E62532" w:rsidRDefault="00E62532" w:rsidP="00E62532">
      <w:pPr>
        <w:spacing w:after="0"/>
        <w:rPr>
          <w:rFonts w:cstheme="minorHAnsi"/>
          <w:lang w:val="es-ES"/>
        </w:rPr>
      </w:pPr>
    </w:p>
    <w:p w14:paraId="5D848969" w14:textId="77777777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Esta es la información incluida en los informes de calificación:</w:t>
      </w:r>
    </w:p>
    <w:p w14:paraId="409856F0" w14:textId="77777777" w:rsidR="00E62532" w:rsidRDefault="00E62532" w:rsidP="00E62532">
      <w:pPr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(i): Descripción general del sistema de rendición de cuentas del estado de Texas</w:t>
      </w:r>
    </w:p>
    <w:p w14:paraId="2F4C0E34" w14:textId="77777777" w:rsidR="00E62532" w:rsidRDefault="00E62532" w:rsidP="00E62532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>
        <w:rPr>
          <w:rFonts w:ascii="Calibri" w:hAnsi="Calibri" w:cs="Calibri"/>
          <w:lang w:val="es-ES"/>
        </w:rPr>
        <w:t>(I) el número mínimo de estudiantes que el Estado determina que es necesario incluir en cada uno de los subgrupos de estudiantes para uso en el sistema de rendición de cuentas;</w:t>
      </w:r>
    </w:p>
    <w:p w14:paraId="13C9B2A4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(II) las metas y medidas a largo plazo para el progreso interino de todos los estudiantes y de cada uno de los subgrupos de estudiantes;</w:t>
      </w:r>
    </w:p>
    <w:p w14:paraId="3BD6F793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(III) los indicadores utilizados para diferenciar de forma coherente todas las escuelas públicas del Estado;</w:t>
      </w:r>
    </w:p>
    <w:p w14:paraId="40E48C82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(IV) el sistema del Estado para diferenciar de forma coherente todas las escuelas públicas del Estado. Incluye:</w:t>
      </w:r>
    </w:p>
    <w:p w14:paraId="1AEF235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aa</w:t>
      </w:r>
      <w:proofErr w:type="spellEnd"/>
      <w:r>
        <w:rPr>
          <w:rFonts w:ascii="Calibri" w:hAnsi="Calibri" w:cs="Calibri"/>
          <w:lang w:val="es-ES"/>
        </w:rPr>
        <w:t>) el peso específico de los indicadores de la diferenciación;</w:t>
      </w:r>
      <w:r>
        <w:rPr>
          <w:rFonts w:ascii="Calibri" w:hAnsi="Calibri" w:cs="Calibri"/>
          <w:lang w:val="es-ES"/>
        </w:rPr>
        <w:tab/>
      </w:r>
    </w:p>
    <w:p w14:paraId="632C2283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bb</w:t>
      </w:r>
      <w:proofErr w:type="spellEnd"/>
      <w:r>
        <w:rPr>
          <w:rFonts w:ascii="Calibri" w:hAnsi="Calibri" w:cs="Calibri"/>
          <w:lang w:val="es-ES"/>
        </w:rPr>
        <w:t>) la metodología que aplica el Estado para diferenciar a todas esas escuelas;</w:t>
      </w:r>
    </w:p>
    <w:p w14:paraId="2F34EE3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cc</w:t>
      </w:r>
      <w:proofErr w:type="spellEnd"/>
      <w:r>
        <w:rPr>
          <w:rFonts w:ascii="Calibri" w:hAnsi="Calibri" w:cs="Calibri"/>
          <w:lang w:val="es-ES"/>
        </w:rPr>
        <w:t>) la metodología que aplica el Estado al establecer que una escuela es de bajo rendimiento constante en relación con cualquier subgrupo de estudiantes; y</w:t>
      </w:r>
    </w:p>
    <w:p w14:paraId="1CA423D4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dd</w:t>
      </w:r>
      <w:proofErr w:type="spellEnd"/>
      <w:r>
        <w:rPr>
          <w:rFonts w:ascii="Calibri" w:hAnsi="Calibri" w:cs="Calibri"/>
          <w:lang w:val="es-ES"/>
        </w:rPr>
        <w:t>) la metodología que aplica el Estado para establecer si una escuela necesita apoyo y mejora integrales;</w:t>
      </w:r>
    </w:p>
    <w:p w14:paraId="5FFF400D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(V) el número y los nombres de todas las escuelas públicas estatales que el Estado ha identificado como necesitadas de apoyo y mejora integrales o implementación de planes específicos de apoyo y mejora;</w:t>
      </w:r>
    </w:p>
    <w:p w14:paraId="5E4909DD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</w:p>
    <w:p w14:paraId="330C46A4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(VI) los criterios de salida establecidos por el Estado, entre ellos el periodo establecido, en años.</w:t>
      </w:r>
    </w:p>
    <w:p w14:paraId="78FED5DF" w14:textId="77777777" w:rsidR="00E62532" w:rsidRDefault="00E62532" w:rsidP="00E62532">
      <w:pPr>
        <w:spacing w:before="120" w:after="120"/>
        <w:rPr>
          <w:rFonts w:cstheme="minorHAnsi"/>
          <w:b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</w:t>
      </w:r>
      <w:proofErr w:type="spellEnd"/>
      <w:r>
        <w:rPr>
          <w:rFonts w:cstheme="minorHAnsi"/>
          <w:b/>
          <w:lang w:val="es-ES"/>
        </w:rPr>
        <w:t>): Logro Estudiantil por nivel de Competencia</w:t>
      </w:r>
    </w:p>
    <w:p w14:paraId="635FB31C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el logro académico de los estudiantes en las Evaluaciones de Preparación Académica del Estado de Texas (STAAR) en matemáticas, lectura y ELA (lenguaje y literatura en inglés) y ciencias por grado escolar y nivel de competencia en el ciclo escolar 2021–22.  Estos resultados abarcan a todos los alumnos evaluados, independientemente de si eran parte del subconjunto designado en la rendición de cuentas.</w:t>
      </w:r>
    </w:p>
    <w:p w14:paraId="696736F9" w14:textId="77777777" w:rsidR="00E62532" w:rsidRDefault="00E62532" w:rsidP="00E62532">
      <w:pPr>
        <w:spacing w:after="0"/>
        <w:rPr>
          <w:rFonts w:cstheme="minorHAnsi"/>
          <w:lang w:val="es-ES"/>
        </w:rPr>
      </w:pPr>
    </w:p>
    <w:p w14:paraId="37B4EDB0" w14:textId="77777777" w:rsidR="00E62532" w:rsidRDefault="00E62532" w:rsidP="00E62532">
      <w:pPr>
        <w:spacing w:before="120" w:after="12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(I): Crecimiento académico</w:t>
      </w:r>
    </w:p>
    <w:p w14:paraId="3D94DA44" w14:textId="68C1EDBD" w:rsidR="00E62532" w:rsidRPr="00E62532" w:rsidRDefault="00E62532" w:rsidP="00E62532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Esta sección contiene información sobre el crecimiento académico de los estudiantes en matemáticas y </w:t>
      </w:r>
      <w:r>
        <w:rPr>
          <w:rFonts w:cstheme="minorHAnsi"/>
          <w:lang w:val="es-ES"/>
        </w:rPr>
        <w:t xml:space="preserve">lectura y ELA (lenguaje y literatura en inglés) en las </w:t>
      </w:r>
      <w:r>
        <w:rPr>
          <w:rFonts w:ascii="Calibri" w:hAnsi="Calibri" w:cs="Calibri"/>
          <w:lang w:val="es-ES"/>
        </w:rPr>
        <w:t xml:space="preserve">escuelas primarias públicas y en escuelas secundarias </w:t>
      </w:r>
      <w:r>
        <w:rPr>
          <w:rFonts w:ascii="Calibri" w:hAnsi="Calibri" w:cs="Calibri"/>
          <w:lang w:val="es-ES"/>
        </w:rPr>
        <w:lastRenderedPageBreak/>
        <w:t xml:space="preserve">o preparatorias sin tasa de graduación del ciclo escolar 2021-22. </w:t>
      </w:r>
      <w:r>
        <w:rPr>
          <w:rFonts w:cstheme="minorHAnsi"/>
          <w:lang w:val="es-ES"/>
        </w:rPr>
        <w:t>Estos resultados abarcan a todos los alumnos evaluados, independientemente de si eran parte del subconjunto designado en la rendición de cuentas</w:t>
      </w:r>
      <w:r>
        <w:rPr>
          <w:rFonts w:ascii="Calibri" w:hAnsi="Calibri" w:cs="Calibri"/>
          <w:lang w:val="es-ES"/>
        </w:rPr>
        <w:t>.</w:t>
      </w:r>
    </w:p>
    <w:p w14:paraId="128635E0" w14:textId="77777777" w:rsidR="00E62532" w:rsidRDefault="00E62532" w:rsidP="00E62532">
      <w:pPr>
        <w:spacing w:before="120" w:after="120"/>
        <w:rPr>
          <w:rFonts w:cstheme="minorHAnsi"/>
          <w:i/>
          <w:iCs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(II): Tasa de graduación</w:t>
      </w:r>
    </w:p>
    <w:p w14:paraId="41CD9DAE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las tasas de graduación de la preparatoria de la Generación 2021.</w:t>
      </w:r>
    </w:p>
    <w:p w14:paraId="0826E4BF" w14:textId="77777777" w:rsidR="00E62532" w:rsidRDefault="00E62532" w:rsidP="00E62532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57222045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iv</w:t>
      </w:r>
      <w:proofErr w:type="spellEnd"/>
      <w:r>
        <w:rPr>
          <w:rFonts w:cstheme="minorHAnsi"/>
          <w:b/>
          <w:lang w:val="es-ES"/>
        </w:rPr>
        <w:t>): Dominio del idioma inglés</w:t>
      </w:r>
      <w:r>
        <w:rPr>
          <w:rFonts w:cstheme="minorHAnsi"/>
        </w:rPr>
        <w:br/>
      </w:r>
      <w:r>
        <w:rPr>
          <w:rFonts w:cstheme="minorHAnsi"/>
          <w:lang w:val="es-ES"/>
        </w:rPr>
        <w:t xml:space="preserve">Esta sección contiene información sobre el número y el porcentaje de estudiantes aprendices de inglés (EL) que logran el dominio del inglés según datos de 2022 del Sistema Estatal de Texas de Evaluación del Dominio del </w:t>
      </w:r>
      <w:proofErr w:type="gramStart"/>
      <w:r>
        <w:rPr>
          <w:rFonts w:cstheme="minorHAnsi"/>
          <w:lang w:val="es-ES"/>
        </w:rPr>
        <w:t>Inglés</w:t>
      </w:r>
      <w:proofErr w:type="gramEnd"/>
      <w:r>
        <w:rPr>
          <w:rFonts w:cstheme="minorHAnsi"/>
          <w:lang w:val="es-ES"/>
        </w:rPr>
        <w:t xml:space="preserve"> (TELPAS).</w:t>
      </w:r>
    </w:p>
    <w:p w14:paraId="533CC956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(v): Calidad escolar o éxito estudiantil (SQSS)</w:t>
      </w:r>
      <w:r>
        <w:rPr>
          <w:rFonts w:cstheme="minorHAnsi"/>
        </w:rPr>
        <w:br/>
      </w:r>
      <w:r>
        <w:rPr>
          <w:rFonts w:cstheme="minorHAnsi"/>
          <w:lang w:val="es-ES"/>
        </w:rPr>
        <w:t xml:space="preserve">Esta sección contiene información sobre la calidad de la escuela o el éxito estudiantil, que es la Preparación para la Universidad, Carreras Técnicas y Servicio Militar (CCMR) en las escuelas preparatorias, y la tasa de rendimiento promedio en los tres niveles de desempeño en STAAR de todos los estudiantes, independientemente de si eran parte del subconjunto designado en la rendición de cuentas, en </w:t>
      </w:r>
      <w:r>
        <w:rPr>
          <w:rFonts w:ascii="Calibri" w:hAnsi="Calibri" w:cs="Calibri"/>
          <w:lang w:val="es-ES"/>
        </w:rPr>
        <w:t>las primarias, secundarias y preparatorias sin tasa de graduación</w:t>
      </w:r>
      <w:r>
        <w:rPr>
          <w:rFonts w:cstheme="minorHAnsi"/>
          <w:lang w:val="es-ES"/>
        </w:rPr>
        <w:t>.</w:t>
      </w:r>
    </w:p>
    <w:p w14:paraId="5E04D303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(vi): Estado de cumplimiento de metas</w:t>
      </w:r>
      <w:r>
        <w:rPr>
          <w:rFonts w:cstheme="minorHAnsi"/>
        </w:rPr>
        <w:br/>
      </w:r>
      <w:r>
        <w:rPr>
          <w:rFonts w:ascii="Calibri" w:hAnsi="Calibri" w:cs="Calibri"/>
          <w:lang w:val="es-ES"/>
        </w:rPr>
        <w:t>Esta sección contiene información sobre el progreso de todos y cada uno de los grupos de estudiantes hacia el cumplimiento de las metas a largo plazo y objetivos provisionales de desempeño académico en STAAR, la tasa de graduación federal y el dominio del idioma de los estudiantes aprendices de inglés.</w:t>
      </w:r>
    </w:p>
    <w:p w14:paraId="7A201412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</w:t>
      </w:r>
      <w:proofErr w:type="spellEnd"/>
      <w:r>
        <w:rPr>
          <w:rFonts w:cstheme="minorHAnsi"/>
          <w:b/>
          <w:lang w:val="es-ES"/>
        </w:rPr>
        <w:t>): Participación en STAAR</w:t>
      </w:r>
      <w:r>
        <w:rPr>
          <w:rFonts w:cstheme="minorHAnsi"/>
        </w:rPr>
        <w:br/>
      </w:r>
      <w:r>
        <w:rPr>
          <w:rFonts w:cstheme="minorHAnsi"/>
          <w:lang w:val="es-ES"/>
        </w:rPr>
        <w:t>Esta sección muestra el porcentaje de estudiantes evaluados y no evaluados en STAAR de matemáticas, lectura y ELA y ciencias.</w:t>
      </w:r>
    </w:p>
    <w:p w14:paraId="3BAEEBA7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viii</w:t>
      </w:r>
      <w:proofErr w:type="spellEnd"/>
      <w:r>
        <w:rPr>
          <w:rFonts w:cstheme="minorHAnsi"/>
          <w:b/>
          <w:lang w:val="es-ES"/>
        </w:rPr>
        <w:t>): Datos de derechos civiles</w:t>
      </w:r>
      <w:r>
        <w:rPr>
          <w:rFonts w:cstheme="minorHAnsi"/>
        </w:rPr>
        <w:br/>
      </w:r>
      <w:r>
        <w:rPr>
          <w:rFonts w:cstheme="minorHAnsi"/>
          <w:u w:val="single"/>
          <w:lang w:val="es-ES"/>
        </w:rPr>
        <w:t>Parte (</w:t>
      </w:r>
      <w:proofErr w:type="spellStart"/>
      <w:r>
        <w:rPr>
          <w:rFonts w:cstheme="minorHAnsi"/>
          <w:u w:val="single"/>
          <w:lang w:val="es-ES"/>
        </w:rPr>
        <w:t>viii</w:t>
      </w:r>
      <w:proofErr w:type="spellEnd"/>
      <w:r>
        <w:rPr>
          <w:rFonts w:cstheme="minorHAnsi"/>
          <w:u w:val="single"/>
          <w:lang w:val="es-ES"/>
        </w:rPr>
        <w:t>)(I)</w:t>
      </w:r>
      <w:r>
        <w:rPr>
          <w:rFonts w:cstheme="minorHAnsi"/>
          <w:lang w:val="es-ES"/>
        </w:rPr>
        <w:t xml:space="preserve"> Esta sección contiene información de las encuestas del Recopilación de Datos de Derechos Civiles (CRDC) de  2017-18, presentadas por los distritos escolares a la Oficina de Derechos Civiles, sobre medidas de calidad escolar, clima y seguridad, e incluye cifras de suspensiones escolares, expulsiones, arrestos relacionados con la escuela, derivaciones a las autoridades, ausentismo crónico (ausencias justificadas e injustificadas) e incidentes violentos, como abuso y acoso. </w:t>
      </w:r>
    </w:p>
    <w:p w14:paraId="40933BE9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Cs/>
          <w:u w:val="single"/>
          <w:lang w:val="es-ES"/>
        </w:rPr>
        <w:t>Parte (</w:t>
      </w:r>
      <w:proofErr w:type="spellStart"/>
      <w:r>
        <w:rPr>
          <w:rFonts w:cstheme="minorHAnsi"/>
          <w:bCs/>
          <w:u w:val="single"/>
          <w:lang w:val="es-ES"/>
        </w:rPr>
        <w:t>viii</w:t>
      </w:r>
      <w:proofErr w:type="spellEnd"/>
      <w:r>
        <w:rPr>
          <w:rFonts w:cstheme="minorHAnsi"/>
          <w:bCs/>
          <w:u w:val="single"/>
          <w:lang w:val="es-ES"/>
        </w:rPr>
        <w:t>)(II)</w:t>
      </w:r>
      <w:r>
        <w:rPr>
          <w:rFonts w:cstheme="minorHAnsi"/>
          <w:bCs/>
          <w:lang w:val="es-ES"/>
        </w:rPr>
        <w:t xml:space="preserve"> Esta sección contiene información de las encuestas de CRDC de 2017-18, presentadas por los distritos escolares a la Oficina de</w:t>
      </w:r>
      <w:r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lang w:val="es-ES"/>
        </w:rPr>
        <w:t>Derechos Civiles sobre el número de estudiantes inscritos en programas preescolares y cursos acelerados para obtener crédito de postsecundaria mientras estudian en la preparatoria.</w:t>
      </w:r>
    </w:p>
    <w:p w14:paraId="7E1E8930" w14:textId="72CA4CEA" w:rsidR="00E62532" w:rsidRP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ix</w:t>
      </w:r>
      <w:proofErr w:type="spellEnd"/>
      <w:r>
        <w:rPr>
          <w:rFonts w:cstheme="minorHAnsi"/>
          <w:b/>
          <w:lang w:val="es-ES"/>
        </w:rPr>
        <w:t>): Datos de calidad de los maestros</w:t>
      </w:r>
      <w:r>
        <w:rPr>
          <w:rFonts w:cstheme="minorHAnsi"/>
          <w:lang w:val="es-ES"/>
        </w:rPr>
        <w:br/>
        <w:t>Esta sección contiene información sobre las credenciales profesionales de los maestros, e incluye datos desglosados por escuela en función del nivel de pobreza (bajo o alto), sobre el número y el porcentaje de (I) maestros, directores y otros líderes escolares inexpertos; (II) maestros que enseñan con credenciales de emergencia o provisionales; y (III) maestros que no están enseñando la materia o campo para el cual están certificados o licenciados.</w:t>
      </w:r>
    </w:p>
    <w:p w14:paraId="7481FF7A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lastRenderedPageBreak/>
        <w:t>Parte (x): Gasto por alumno</w:t>
      </w:r>
    </w:p>
    <w:p w14:paraId="3A32F411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los gastos por alumno de fondos federales, estatales y locales, como gastos de personal y otros, desglosados por fuente de fondos, para cada distrito y escuela, en el año fiscal anterior.</w:t>
      </w:r>
      <w:r>
        <w:rPr>
          <w:rFonts w:cstheme="minorHAnsi"/>
          <w:lang w:val="es-ES"/>
        </w:rPr>
        <w:br/>
      </w:r>
    </w:p>
    <w:p w14:paraId="0EE0A63A" w14:textId="55F5A45E" w:rsidR="00E62532" w:rsidRDefault="00E62532" w:rsidP="00E62532">
      <w:pPr>
        <w:spacing w:before="120" w:after="120"/>
        <w:ind w:firstLine="720"/>
        <w:rPr>
          <w:rFonts w:cstheme="minorHAnsi"/>
          <w:lang w:val="es-419"/>
        </w:rPr>
      </w:pPr>
      <w:r>
        <w:rPr>
          <w:rFonts w:cstheme="minorHAnsi"/>
          <w:i/>
          <w:iCs/>
          <w:lang w:val="es-419"/>
        </w:rPr>
        <w:t>Se actualizará antes del 30 de junio de 2023.</w:t>
      </w:r>
      <w:r>
        <w:rPr>
          <w:rFonts w:cstheme="minorHAnsi"/>
          <w:i/>
          <w:iCs/>
          <w:lang w:val="es-419"/>
        </w:rPr>
        <w:br/>
      </w:r>
    </w:p>
    <w:p w14:paraId="5B55B95D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 xml:space="preserve">Parte (xi): Participación en STAAR Alternativo 2 </w:t>
      </w:r>
      <w:r>
        <w:rPr>
          <w:rFonts w:cstheme="minorHAnsi"/>
        </w:rPr>
        <w:br/>
      </w:r>
      <w:r>
        <w:rPr>
          <w:rFonts w:cstheme="minorHAnsi"/>
          <w:lang w:val="es-ES"/>
        </w:rPr>
        <w:t>Esta sección contiene información sobre el número y porcentaje de estudiantes con las discapacidades cognitivas más significativas que presentan STAAR Alternativo 2, por grado y materia para el ciclo escolar 2021-22.</w:t>
      </w:r>
    </w:p>
    <w:p w14:paraId="02B50AC4" w14:textId="77777777" w:rsidR="00E62532" w:rsidRDefault="00E62532" w:rsidP="00E62532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</w:t>
      </w:r>
      <w:proofErr w:type="spellEnd"/>
      <w:r>
        <w:rPr>
          <w:rFonts w:cstheme="minorHAnsi"/>
          <w:b/>
          <w:bCs/>
          <w:lang w:val="es-ES"/>
        </w:rPr>
        <w:t>): Evaluación Nacional Estatal del Progreso Educativo (NAEP)</w:t>
      </w:r>
      <w:r>
        <w:rPr>
          <w:rFonts w:cstheme="minorHAnsi"/>
          <w:b/>
          <w:bCs/>
        </w:rPr>
        <w:br/>
      </w:r>
      <w:r>
        <w:rPr>
          <w:rFonts w:cstheme="minorHAnsi"/>
          <w:lang w:val="es-ES"/>
        </w:rPr>
        <w:t xml:space="preserve">Esta sección contiene resultados sobre las evaluaciones académicas estatales de lectura y matemáticas de </w:t>
      </w:r>
      <w:proofErr w:type="gramStart"/>
      <w:r>
        <w:rPr>
          <w:rFonts w:cstheme="minorHAnsi"/>
          <w:lang w:val="es-ES"/>
        </w:rPr>
        <w:t>4.°</w:t>
      </w:r>
      <w:proofErr w:type="gramEnd"/>
      <w:r>
        <w:rPr>
          <w:rFonts w:cstheme="minorHAnsi"/>
          <w:lang w:val="es-ES"/>
        </w:rPr>
        <w:t xml:space="preserve"> y 8.° grado de la NAEP de 2022, en comparación con el promedio nacional de esos resultados.</w:t>
      </w:r>
    </w:p>
    <w:p w14:paraId="766ABCD8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xiii</w:t>
      </w:r>
      <w:proofErr w:type="spellEnd"/>
      <w:r>
        <w:rPr>
          <w:rFonts w:cstheme="minorHAnsi"/>
          <w:b/>
          <w:bCs/>
          <w:lang w:val="es-ES"/>
        </w:rPr>
        <w:t>): Tasa de grupos de graduados inscritos en educación postsecundaria</w:t>
      </w:r>
      <w:r>
        <w:rPr>
          <w:rFonts w:cstheme="minorHAnsi"/>
          <w:b/>
          <w:bCs/>
        </w:rPr>
        <w:br/>
      </w:r>
      <w:r>
        <w:rPr>
          <w:rFonts w:cstheme="minorHAnsi"/>
          <w:lang w:val="es-ES"/>
        </w:rPr>
        <w:t xml:space="preserve">Esta sección contiene la tasa de inscripción del grupo de estudiantes graduados de la preparatoria del ciclo 2019-20 en clases del ciclo académico de postsecundaria 2020-21 en (I) una institución pública de educación postsecundaria en Texas; (II) una institución privada de educación postsecundaria en Texas; (III) una institución de educación postsecundaria fuera de Texas. </w:t>
      </w:r>
    </w:p>
    <w:p w14:paraId="77DB9AC9" w14:textId="77777777" w:rsidR="00E62532" w:rsidRDefault="00E62532" w:rsidP="00E62532">
      <w:pPr>
        <w:spacing w:before="120" w:after="120"/>
        <w:rPr>
          <w:rFonts w:cstheme="minorHAnsi"/>
          <w:lang w:val="es-419"/>
        </w:rPr>
      </w:pPr>
      <w:r>
        <w:rPr>
          <w:rFonts w:cstheme="minorHAnsi"/>
          <w:b/>
          <w:bCs/>
          <w:lang w:val="es-419"/>
        </w:rPr>
        <w:t>Parte (</w:t>
      </w:r>
      <w:proofErr w:type="spellStart"/>
      <w:r>
        <w:rPr>
          <w:rFonts w:cstheme="minorHAnsi"/>
          <w:b/>
          <w:bCs/>
          <w:lang w:val="es-419"/>
        </w:rPr>
        <w:t>xiv</w:t>
      </w:r>
      <w:proofErr w:type="spellEnd"/>
      <w:r>
        <w:rPr>
          <w:rFonts w:cstheme="minorHAnsi"/>
          <w:b/>
          <w:bCs/>
          <w:lang w:val="es-419"/>
        </w:rPr>
        <w:t>): Información Adicional – Ausentismo crónico</w:t>
      </w:r>
      <w:r>
        <w:rPr>
          <w:rFonts w:cstheme="minorHAnsi"/>
          <w:b/>
          <w:bCs/>
          <w:lang w:val="es-419"/>
        </w:rPr>
        <w:br/>
      </w:r>
      <w:r>
        <w:rPr>
          <w:rFonts w:cstheme="minorHAnsi"/>
          <w:lang w:val="es-419"/>
        </w:rPr>
        <w:t xml:space="preserve">Esta sección contiene información sobre ausentismo crónico según la definición de </w:t>
      </w:r>
      <w:proofErr w:type="spellStart"/>
      <w:r>
        <w:rPr>
          <w:rFonts w:cstheme="minorHAnsi"/>
          <w:lang w:val="es-419"/>
        </w:rPr>
        <w:t>EDFacts</w:t>
      </w:r>
      <w:proofErr w:type="spellEnd"/>
      <w:r>
        <w:rPr>
          <w:rFonts w:cstheme="minorHAnsi"/>
          <w:lang w:val="es-419"/>
        </w:rPr>
        <w:t>: porcentaje de la cantidad no duplicada de estudiantes de K-12 inscritos en la escuela por un mínimo de 10 días y ausentes un 10% de los días de clases, o más, durante el ciclo escolar 2020-21.</w:t>
      </w:r>
    </w:p>
    <w:p w14:paraId="0D6E170A" w14:textId="192E9AD0" w:rsidR="00E62532" w:rsidRDefault="00E62532" w:rsidP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En el caso de tener dificultades para ver la información en el sitio web, puede obtener copias impresas de los informes en oficinas del distrito y de las escuelas.  Si tiene alguna pregunta sobre la información, comuníquese con</w:t>
      </w:r>
      <w:r w:rsidR="006143F3" w:rsidRPr="006143F3">
        <w:rPr>
          <w:rFonts w:ascii="Calibri" w:hAnsi="Calibri" w:cs="Calibri"/>
        </w:rPr>
        <w:t xml:space="preserve"> </w:t>
      </w:r>
      <w:r w:rsidR="006143F3">
        <w:rPr>
          <w:rFonts w:ascii="Calibri" w:hAnsi="Calibri" w:cs="Calibri"/>
        </w:rPr>
        <w:t>Alizabeth Robinson at</w:t>
      </w:r>
      <w:r w:rsidR="006143F3">
        <w:rPr>
          <w:rFonts w:cstheme="minorHAnsi"/>
          <w:lang w:val="es-ES"/>
        </w:rPr>
        <w:t xml:space="preserve"> </w:t>
      </w:r>
      <w:hyperlink r:id="rId8" w:history="1">
        <w:r w:rsidR="006143F3" w:rsidRPr="001846C1">
          <w:rPr>
            <w:rStyle w:val="Hyperlink"/>
            <w:rFonts w:ascii="Calibri" w:hAnsi="Calibri" w:cs="Calibri"/>
          </w:rPr>
          <w:t>alizabeth.robinson@houstonisd.org</w:t>
        </w:r>
      </w:hyperlink>
      <w:r>
        <w:rPr>
          <w:rFonts w:cstheme="minorHAnsi"/>
          <w:lang w:val="es-ES"/>
        </w:rPr>
        <w:t>.</w:t>
      </w:r>
    </w:p>
    <w:p w14:paraId="2BF5D397" w14:textId="77777777" w:rsidR="006143F3" w:rsidRPr="006143F3" w:rsidRDefault="006143F3" w:rsidP="00E62532">
      <w:pPr>
        <w:rPr>
          <w:rFonts w:cstheme="minorHAnsi"/>
          <w:lang w:val="es-ES"/>
        </w:rPr>
      </w:pPr>
    </w:p>
    <w:p w14:paraId="53768B8D" w14:textId="77777777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Atentamente,</w:t>
      </w:r>
    </w:p>
    <w:p w14:paraId="6A95DEF4" w14:textId="77777777" w:rsidR="006143F3" w:rsidRDefault="006143F3" w:rsidP="006143F3">
      <w:r>
        <w:t xml:space="preserve">Dr. </w:t>
      </w:r>
      <w:proofErr w:type="spellStart"/>
      <w:r>
        <w:t>LaTreia</w:t>
      </w:r>
      <w:proofErr w:type="spellEnd"/>
      <w:r>
        <w:t xml:space="preserve"> Woodard</w:t>
      </w:r>
    </w:p>
    <w:p w14:paraId="2D4609A3" w14:textId="77777777" w:rsidR="004C241A" w:rsidRDefault="004C241A"/>
    <w:sectPr w:rsidR="004C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2"/>
    <w:rsid w:val="00241AAF"/>
    <w:rsid w:val="004C241A"/>
    <w:rsid w:val="006143F3"/>
    <w:rsid w:val="00E6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FF9"/>
  <w15:chartTrackingRefBased/>
  <w15:docId w15:val="{506A448B-CBF7-44D6-AA51-DD58749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53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6253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E62532"/>
    <w:pPr>
      <w:spacing w:after="0" w:line="240" w:lineRule="auto"/>
    </w:pPr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6253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14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zabeth.robinson@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tsvr1.tea.texas.gov/cgi/sas/broker?_service=marykay&amp;_program=perfrept.perfmast.sas&amp;_debug=0&amp;frc=yes&amp;ccyy=2022&amp;lev=C&amp;id=101912058&amp;prgopt=2019%2Ffrc%2Freport_card.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B5CB378B1A4BE59EE20423465E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77C3-E6B4-4069-BD9D-312F845FB268}"/>
      </w:docPartPr>
      <w:docPartBody>
        <w:p w:rsidR="00A27280" w:rsidRDefault="00A216C7" w:rsidP="00A216C7">
          <w:pPr>
            <w:pStyle w:val="8EB5CB378B1A4BE59EE20423465E5C8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C7"/>
    <w:rsid w:val="00323F70"/>
    <w:rsid w:val="00A216C7"/>
    <w:rsid w:val="00A2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6C7"/>
  </w:style>
  <w:style w:type="paragraph" w:customStyle="1" w:styleId="8EB5CB378B1A4BE59EE20423465E5C8B">
    <w:name w:val="8EB5CB378B1A4BE59EE20423465E5C8B"/>
    <w:rsid w:val="00A21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Shirlene Y</dc:creator>
  <cp:keywords/>
  <dc:description/>
  <cp:lastModifiedBy>Robinson, Alizabeth M</cp:lastModifiedBy>
  <cp:revision>2</cp:revision>
  <dcterms:created xsi:type="dcterms:W3CDTF">2023-02-20T15:48:00Z</dcterms:created>
  <dcterms:modified xsi:type="dcterms:W3CDTF">2023-02-20T15:48:00Z</dcterms:modified>
</cp:coreProperties>
</file>