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bookmarkStart w:colFirst="0" w:colLast="0" w:name="_ke6f9ybxsrdq" w:id="0"/>
      <w:bookmarkEnd w:id="0"/>
      <w:r w:rsidDel="00000000" w:rsidR="00000000" w:rsidRPr="00000000">
        <w:rPr>
          <w:rtl w:val="0"/>
        </w:rPr>
        <w:t xml:space="preserve">HISD Zearn Math Challenge</w:t>
        <w:br w:type="textWrapping"/>
      </w:r>
      <w:r w:rsidDel="00000000" w:rsidR="00000000" w:rsidRPr="00000000">
        <w:rPr>
          <w:rFonts w:ascii="Source Sans Pro" w:cs="Source Sans Pro" w:eastAsia="Source Sans Pro" w:hAnsi="Source Sans Pro"/>
          <w:b w:val="0"/>
          <w:sz w:val="36"/>
          <w:szCs w:val="36"/>
          <w:rtl w:val="0"/>
        </w:rPr>
        <w:t xml:space="preserve">Blast Off into the Zearn Space Race!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school is launching the Zearn Space Race to help students boost their math learning. Starting January 22nd, 3rd through 5th grade </w:t>
      </w:r>
      <w:r w:rsidDel="00000000" w:rsidR="00000000" w:rsidRPr="00000000">
        <w:rPr>
          <w:sz w:val="24"/>
          <w:szCs w:val="24"/>
          <w:rtl w:val="0"/>
        </w:rPr>
        <w:t xml:space="preserve">students</w:t>
      </w:r>
      <w:r w:rsidDel="00000000" w:rsidR="00000000" w:rsidRPr="00000000">
        <w:rPr>
          <w:sz w:val="24"/>
          <w:szCs w:val="24"/>
          <w:rtl w:val="0"/>
        </w:rPr>
        <w:t xml:space="preserve"> can earn prizes for completing Zearn lessons. Zearn is a math learning platform our school uses to help students understand math concepts. Zearn is proven to increase student learning when used consistently.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January 22nd through April 21st, students will take part in the Zearn Space Race. They can earn:</w:t>
      </w:r>
    </w:p>
    <w:p w:rsidR="00000000" w:rsidDel="00000000" w:rsidP="00000000" w:rsidRDefault="00000000" w:rsidRPr="00000000" w14:paraId="00000005">
      <w:pPr>
        <w:pStyle w:val="Heading1"/>
        <w:rPr>
          <w:sz w:val="34"/>
          <w:szCs w:val="34"/>
        </w:rPr>
      </w:pPr>
      <w:bookmarkStart w:colFirst="0" w:colLast="0" w:name="_frehx8534dtv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9495"/>
        <w:tblGridChange w:id="0">
          <w:tblGrid>
            <w:gridCol w:w="720"/>
            <w:gridCol w:w="9495"/>
          </w:tblGrid>
        </w:tblGridChange>
      </w:tblGrid>
      <w:tr>
        <w:trPr>
          <w:cantSplit w:val="0"/>
          <w:trHeight w:val="431.9999999999999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84361" cy="284361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61" cy="2843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07">
            <w:pPr>
              <w:pStyle w:val="Heading2"/>
              <w:spacing w:after="0" w:line="276" w:lineRule="auto"/>
              <w:rPr>
                <w:sz w:val="30"/>
                <w:szCs w:val="30"/>
              </w:rPr>
            </w:pPr>
            <w:bookmarkStart w:colFirst="0" w:colLast="0" w:name="_3419wh7fhngy" w:id="2"/>
            <w:bookmarkEnd w:id="2"/>
            <w:r w:rsidDel="00000000" w:rsidR="00000000" w:rsidRPr="00000000">
              <w:rPr>
                <w:sz w:val="30"/>
                <w:szCs w:val="30"/>
                <w:rtl w:val="0"/>
              </w:rPr>
              <w:t xml:space="preserve">Weekly Prize for Completing 5+ Zearn Lessons</w:t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 week, when students complete 5 Zearn lessons, they will earn a small reward.</w:t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84361" cy="284361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61" cy="2843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0C">
            <w:pPr>
              <w:pStyle w:val="Heading2"/>
              <w:spacing w:after="0" w:line="276" w:lineRule="auto"/>
              <w:rPr>
                <w:sz w:val="30"/>
                <w:szCs w:val="30"/>
              </w:rPr>
            </w:pPr>
            <w:bookmarkStart w:colFirst="0" w:colLast="0" w:name="_ruebkrjquw25" w:id="3"/>
            <w:bookmarkEnd w:id="3"/>
            <w:r w:rsidDel="00000000" w:rsidR="00000000" w:rsidRPr="00000000">
              <w:rPr>
                <w:sz w:val="30"/>
                <w:szCs w:val="30"/>
                <w:rtl w:val="0"/>
              </w:rPr>
              <w:t xml:space="preserve">Bonus Classroom Prize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your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child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’s class reaches an average of 20 Zearn lessons at the end of each round, the entire class wins a pizza party!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child already has a school-issued Zearn account and will complete Zearn lessons during the school day. Students can also complete Zearn lessons outside of school! Zearn is available online 24/7 and can be accessed by </w:t>
      </w:r>
      <w:hyperlink r:id="rId7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logging in through Clever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9960"/>
        <w:tblGridChange w:id="0">
          <w:tblGrid>
            <w:gridCol w:w="675"/>
            <w:gridCol w:w="99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eff2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84361" cy="284361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792" l="0" r="0" t="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61" cy="2843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eff2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Zearn offers tips to support your child’s learning and help motivate them during the Space Race. </w:t>
              <w:br w:type="textWrapping"/>
            </w:r>
            <w:hyperlink r:id="rId9">
              <w:r w:rsidDel="00000000" w:rsidR="00000000" w:rsidRPr="00000000">
                <w:rPr>
                  <w:sz w:val="20"/>
                  <w:szCs w:val="20"/>
                  <w:u w:val="single"/>
                  <w:rtl w:val="0"/>
                </w:rPr>
                <w:t xml:space="preserve">Click this link to access Zearn tips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. You can also reach out to your child’s teacher for more information </w:t>
              <w:br w:type="textWrapping"/>
              <w:t xml:space="preserve">about their progress in the challenge.</w:t>
            </w:r>
          </w:p>
        </w:tc>
      </w:tr>
    </w:tbl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720" w:top="720" w:left="720" w:right="720" w:header="504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right"/>
      <w:rPr>
        <w:rFonts w:ascii="Source Sans Pro" w:cs="Source Sans Pro" w:eastAsia="Source Sans Pro" w:hAnsi="Source Sans Pro"/>
        <w:b w:val="1"/>
        <w:color w:val="2b124c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>
        <w:rFonts w:ascii="Source Sans Pro" w:cs="Source Sans Pro" w:eastAsia="Source Sans Pro" w:hAnsi="Source Sans Pro"/>
        <w:b w:val="1"/>
        <w:color w:val="2b124c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Fonts w:ascii="Source Sans Pro" w:cs="Source Sans Pro" w:eastAsia="Source Sans Pro" w:hAnsi="Source Sans Pro"/>
        <w:b w:val="1"/>
        <w:color w:val="2b124c"/>
        <w:sz w:val="20"/>
        <w:szCs w:val="20"/>
      </w:rPr>
      <w:drawing>
        <wp:inline distB="114300" distT="114300" distL="114300" distR="114300">
          <wp:extent cx="757238" cy="210344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8" cy="2103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Source Sans Pro" w:cs="Source Sans Pro" w:eastAsia="Source Sans Pro" w:hAnsi="Source Sans Pro"/>
        <w:b w:val="1"/>
        <w:color w:val="2b124c"/>
        <w:sz w:val="20"/>
        <w:szCs w:val="20"/>
        <w:rtl w:val="0"/>
      </w:rPr>
      <w:tab/>
      <w:tab/>
      <w:tab/>
      <w:tab/>
      <w:tab/>
      <w:tab/>
      <w:tab/>
      <w:tab/>
      <w:tab/>
      <w:tab/>
      <w:tab/>
      <w:t xml:space="preserve">             </w:t>
    </w:r>
    <w:r w:rsidDel="00000000" w:rsidR="00000000" w:rsidRPr="00000000">
      <w:rPr>
        <w:rFonts w:ascii="Source Sans Pro" w:cs="Source Sans Pro" w:eastAsia="Source Sans Pro" w:hAnsi="Source Sans Pro"/>
        <w:color w:val="2b124c"/>
        <w:sz w:val="20"/>
        <w:szCs w:val="20"/>
        <w:rtl w:val="0"/>
      </w:rPr>
      <w:t xml:space="preserve">© Zearn 202</w:t>
    </w:r>
    <w:r w:rsidDel="00000000" w:rsidR="00000000" w:rsidRPr="00000000">
      <w:rPr>
        <w:rFonts w:ascii="Source Sans Pro" w:cs="Source Sans Pro" w:eastAsia="Source Sans Pro" w:hAnsi="Source Sans Pro"/>
        <w:sz w:val="20"/>
        <w:szCs w:val="20"/>
        <w:rtl w:val="0"/>
      </w:rPr>
      <w:t xml:space="preserve">4</w:t>
    </w:r>
    <w:r w:rsidDel="00000000" w:rsidR="00000000" w:rsidRPr="00000000">
      <w:rPr>
        <w:rFonts w:ascii="Source Sans Pro" w:cs="Source Sans Pro" w:eastAsia="Source Sans Pro" w:hAnsi="Source Sans Pro"/>
        <w:b w:val="1"/>
        <w:color w:val="2b124c"/>
        <w:sz w:val="20"/>
        <w:szCs w:val="20"/>
        <w:rtl w:val="0"/>
      </w:rPr>
      <w:t xml:space="preserve">  |   </w:t>
    </w:r>
    <w:r w:rsidDel="00000000" w:rsidR="00000000" w:rsidRPr="00000000">
      <w:rPr>
        <w:rFonts w:ascii="Source Sans Pro" w:cs="Source Sans Pro" w:eastAsia="Source Sans Pro" w:hAnsi="Source Sans Pro"/>
        <w:b w:val="1"/>
        <w:color w:val="2b124c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Style w:val="Heading2"/>
      <w:widowControl w:val="0"/>
      <w:spacing w:after="80" w:before="0" w:line="240" w:lineRule="auto"/>
      <w:ind w:left="-90" w:firstLine="0"/>
      <w:rPr>
        <w:sz w:val="16"/>
        <w:szCs w:val="16"/>
      </w:rPr>
    </w:pPr>
    <w:bookmarkStart w:colFirst="0" w:colLast="0" w:name="_sxodoi2t1u1m" w:id="4"/>
    <w:bookmarkEnd w:id="4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Style w:val="Heading2"/>
      <w:widowControl w:val="0"/>
      <w:spacing w:after="80" w:before="0" w:line="240" w:lineRule="auto"/>
      <w:ind w:left="-90" w:firstLine="0"/>
      <w:rPr/>
    </w:pPr>
    <w:bookmarkStart w:colFirst="0" w:colLast="0" w:name="_ywxfmtug944b" w:id="5"/>
    <w:bookmarkEnd w:id="5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Sans Pro" w:cs="Source Sans Pro" w:eastAsia="Source Sans Pro" w:hAnsi="Source Sans Pro"/>
        <w:color w:val="2b124c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line="240" w:lineRule="auto"/>
    </w:pPr>
    <w:rPr>
      <w:rFonts w:ascii="Source Sans Pro" w:cs="Source Sans Pro" w:eastAsia="Source Sans Pro" w:hAnsi="Source Sans Pro"/>
      <w:b w:val="1"/>
      <w:color w:val="2b124c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="240" w:lineRule="auto"/>
    </w:pPr>
    <w:rPr>
      <w:rFonts w:ascii="Source Sans Pro" w:cs="Source Sans Pro" w:eastAsia="Source Sans Pro" w:hAnsi="Source Sans Pro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="240" w:lineRule="auto"/>
    </w:pPr>
    <w:rPr>
      <w:rFonts w:ascii="Source Sans Pro" w:cs="Source Sans Pro" w:eastAsia="Source Sans Pro" w:hAnsi="Source Sans Pro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Source Sans Pro" w:cs="Source Sans Pro" w:eastAsia="Source Sans Pro" w:hAnsi="Source Sans Pro"/>
      <w:b w:val="1"/>
      <w:color w:val="2b124c"/>
      <w:sz w:val="54"/>
      <w:szCs w:val="54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Source Sans Pro" w:cs="Source Sans Pro" w:eastAsia="Source Sans Pro" w:hAnsi="Source Sans Pro"/>
      <w:color w:val="2b124c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bout.zearn.org/math-resources/parent-caregiver-suppor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lever.com/oauth/authorize?response_type=code&amp;district_id=53ea7128ba7f53280d000032&amp;redirect_uri=https%3A%2F%2Fauth.schoolcity.com%2Fauth%2Fclever%3FisFrom%3Dontrack&amp;client_id=b749678dab20935a30c8&amp;state=" TargetMode="External"/><Relationship Id="rId8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